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5"/>
        <w:keepLines/>
        <w:tabs>
          <w:tab w:val="left" w:pos="5956"/>
          <w:tab w:val="right" w:pos="10440"/>
          <w:tab w:val="right" w:pos="13323"/>
        </w:tabs>
        <w:spacing w:before="60" w:after="60"/>
        <w:rPr>
          <w:rFonts w:hint="default" w:eastAsia="宋体" w:cs="Arial"/>
          <w:b w:val="0"/>
          <w:sz w:val="24"/>
          <w:szCs w:val="24"/>
          <w:lang w:val="en-US" w:eastAsia="zh-CN"/>
        </w:rPr>
      </w:pPr>
      <w:bookmarkStart w:id="0" w:name="Title"/>
      <w:bookmarkEnd w:id="0"/>
      <w:r>
        <w:rPr>
          <w:rFonts w:cs="Arial"/>
          <w:sz w:val="24"/>
          <w:szCs w:val="24"/>
        </w:rPr>
        <w:t>3GPP TSG-RAN WG4 Meeting #</w:t>
      </w:r>
      <w:r>
        <w:rPr>
          <w:rFonts w:cs="Arial"/>
        </w:rPr>
        <w:t xml:space="preserve"> </w:t>
      </w:r>
      <w:r>
        <w:rPr>
          <w:rFonts w:cs="Arial"/>
          <w:sz w:val="24"/>
          <w:szCs w:val="24"/>
        </w:rPr>
        <w:t>10</w:t>
      </w:r>
      <w:r>
        <w:rPr>
          <w:rFonts w:hint="eastAsia" w:eastAsia="宋体" w:cs="Arial"/>
          <w:sz w:val="24"/>
          <w:szCs w:val="24"/>
          <w:lang w:val="en-US" w:eastAsia="zh-CN"/>
        </w:rPr>
        <w:t>9</w:t>
      </w:r>
      <w:r>
        <w:rPr>
          <w:rFonts w:cs="Arial"/>
          <w:sz w:val="24"/>
          <w:szCs w:val="24"/>
        </w:rPr>
        <w:tab/>
      </w:r>
      <w:r>
        <w:rPr>
          <w:rFonts w:hint="eastAsia" w:eastAsia="宋体" w:cs="Arial"/>
          <w:sz w:val="24"/>
          <w:szCs w:val="24"/>
          <w:lang w:val="en-US" w:eastAsia="zh-CN"/>
        </w:rPr>
        <w:t xml:space="preserve">                   </w:t>
      </w:r>
      <w:r>
        <w:rPr>
          <w:rFonts w:cs="Arial"/>
          <w:sz w:val="24"/>
          <w:szCs w:val="24"/>
        </w:rPr>
        <w:t>R4-23</w:t>
      </w:r>
      <w:r>
        <w:rPr>
          <w:rFonts w:hint="eastAsia" w:eastAsia="宋体" w:cs="Arial"/>
          <w:sz w:val="24"/>
          <w:szCs w:val="24"/>
          <w:lang w:val="en-US" w:eastAsia="zh-CN"/>
        </w:rPr>
        <w:t>20432</w:t>
      </w:r>
    </w:p>
    <w:p>
      <w:pPr>
        <w:pStyle w:val="45"/>
        <w:tabs>
          <w:tab w:val="right" w:pos="9781"/>
          <w:tab w:val="right" w:pos="13323"/>
        </w:tabs>
        <w:spacing w:before="60" w:after="60"/>
        <w:outlineLvl w:val="0"/>
        <w:rPr>
          <w:rFonts w:eastAsia="宋体" w:cs="Arial"/>
          <w:b w:val="0"/>
          <w:sz w:val="24"/>
          <w:szCs w:val="24"/>
        </w:rPr>
      </w:pPr>
      <w:r>
        <w:rPr>
          <w:rFonts w:hint="eastAsia" w:eastAsia="宋体" w:cs="Arial"/>
          <w:sz w:val="24"/>
          <w:szCs w:val="24"/>
        </w:rPr>
        <w:t>Chicago, US</w:t>
      </w:r>
      <w:r>
        <w:rPr>
          <w:rFonts w:eastAsia="宋体" w:cs="Arial"/>
          <w:sz w:val="24"/>
          <w:szCs w:val="24"/>
        </w:rPr>
        <w:t xml:space="preserve">, </w:t>
      </w:r>
      <w:r>
        <w:rPr>
          <w:rFonts w:hint="eastAsia" w:eastAsia="宋体" w:cs="Arial"/>
          <w:sz w:val="24"/>
          <w:szCs w:val="24"/>
          <w:lang w:val="en-US" w:eastAsia="zh-CN"/>
        </w:rPr>
        <w:t>November 13</w:t>
      </w:r>
      <w:r>
        <w:rPr>
          <w:rFonts w:eastAsia="宋体" w:cs="Arial"/>
          <w:sz w:val="24"/>
          <w:szCs w:val="24"/>
        </w:rPr>
        <w:t xml:space="preserve"> – </w:t>
      </w:r>
      <w:r>
        <w:rPr>
          <w:rFonts w:hint="eastAsia" w:eastAsia="宋体" w:cs="Arial"/>
          <w:sz w:val="24"/>
          <w:szCs w:val="24"/>
          <w:lang w:val="en-US" w:eastAsia="zh-CN"/>
        </w:rPr>
        <w:t xml:space="preserve">November </w:t>
      </w:r>
      <w:r>
        <w:rPr>
          <w:rFonts w:eastAsia="宋体" w:cs="Arial"/>
          <w:sz w:val="24"/>
          <w:szCs w:val="24"/>
        </w:rPr>
        <w:t>1</w:t>
      </w:r>
      <w:r>
        <w:rPr>
          <w:rFonts w:hint="eastAsia" w:eastAsia="宋体" w:cs="Arial"/>
          <w:sz w:val="24"/>
          <w:szCs w:val="24"/>
          <w:lang w:val="en-US" w:eastAsia="zh-CN"/>
        </w:rPr>
        <w:t>7</w:t>
      </w:r>
      <w:r>
        <w:rPr>
          <w:rFonts w:eastAsia="宋体" w:cs="Arial"/>
          <w:sz w:val="24"/>
          <w:szCs w:val="24"/>
        </w:rPr>
        <w:t>, 2023</w:t>
      </w:r>
    </w:p>
    <w:p>
      <w:pPr>
        <w:tabs>
          <w:tab w:val="left" w:pos="1985"/>
        </w:tabs>
        <w:spacing w:after="120"/>
        <w:jc w:val="both"/>
        <w:rPr>
          <w:rFonts w:ascii="Arial" w:hAnsi="Arial" w:cs="Arial"/>
          <w:b/>
          <w:sz w:val="22"/>
          <w:szCs w:val="22"/>
        </w:rPr>
      </w:pPr>
    </w:p>
    <w:p>
      <w:pPr>
        <w:tabs>
          <w:tab w:val="left" w:pos="1985"/>
        </w:tabs>
        <w:spacing w:after="120"/>
        <w:jc w:val="both"/>
        <w:rPr>
          <w:rFonts w:ascii="Arial" w:hAnsi="Arial" w:cs="Arial"/>
          <w:b/>
          <w:sz w:val="22"/>
          <w:szCs w:val="22"/>
        </w:rPr>
      </w:pPr>
      <w:r>
        <w:rPr>
          <w:rFonts w:ascii="Arial" w:hAnsi="Arial" w:cs="Arial"/>
          <w:b/>
          <w:sz w:val="22"/>
          <w:szCs w:val="22"/>
        </w:rPr>
        <w:t>Agenda item:</w:t>
      </w:r>
      <w:bookmarkStart w:id="1" w:name="Source"/>
      <w:bookmarkEnd w:id="1"/>
      <w:r>
        <w:rPr>
          <w:rFonts w:ascii="Arial" w:hAnsi="Arial" w:cs="Arial"/>
          <w:b/>
          <w:sz w:val="22"/>
          <w:szCs w:val="22"/>
        </w:rPr>
        <w:tab/>
      </w:r>
      <w:r>
        <w:rPr>
          <w:rFonts w:hint="eastAsia" w:ascii="Arial" w:hAnsi="Arial" w:eastAsia="宋体" w:cs="Arial"/>
          <w:b/>
          <w:sz w:val="22"/>
          <w:szCs w:val="22"/>
          <w:lang w:val="en-US" w:eastAsia="zh-CN"/>
        </w:rPr>
        <w:t>8</w:t>
      </w:r>
      <w:r>
        <w:rPr>
          <w:rFonts w:ascii="Arial" w:hAnsi="Arial" w:cs="Arial"/>
          <w:b/>
          <w:sz w:val="22"/>
          <w:szCs w:val="22"/>
        </w:rPr>
        <w:t>.20.4</w:t>
      </w:r>
    </w:p>
    <w:p>
      <w:pPr>
        <w:tabs>
          <w:tab w:val="left" w:pos="1985"/>
        </w:tabs>
        <w:spacing w:after="120"/>
        <w:jc w:val="both"/>
        <w:rPr>
          <w:rFonts w:hint="default" w:ascii="Arial" w:hAnsi="Arial" w:eastAsia="宋体" w:cs="Arial"/>
          <w:sz w:val="22"/>
          <w:szCs w:val="22"/>
          <w:lang w:val="en-US" w:eastAsia="zh-CN"/>
        </w:rPr>
      </w:pPr>
      <w:r>
        <w:rPr>
          <w:rFonts w:ascii="Arial" w:hAnsi="Arial" w:cs="Arial"/>
          <w:b/>
          <w:sz w:val="22"/>
          <w:szCs w:val="22"/>
        </w:rPr>
        <w:t>Source:</w:t>
      </w:r>
      <w:r>
        <w:rPr>
          <w:rFonts w:ascii="Arial" w:hAnsi="Arial" w:cs="Arial"/>
          <w:b/>
          <w:sz w:val="22"/>
          <w:szCs w:val="22"/>
        </w:rPr>
        <w:tab/>
      </w:r>
      <w:r>
        <w:rPr>
          <w:rFonts w:hint="eastAsia" w:ascii="Arial" w:hAnsi="Arial" w:eastAsia="宋体" w:cs="Arial"/>
          <w:b/>
          <w:sz w:val="22"/>
          <w:szCs w:val="22"/>
          <w:lang w:val="en-US" w:eastAsia="zh-CN"/>
        </w:rPr>
        <w:t>ZTE, Sanechips</w:t>
      </w:r>
    </w:p>
    <w:p>
      <w:pPr>
        <w:tabs>
          <w:tab w:val="left" w:pos="1985"/>
        </w:tabs>
        <w:spacing w:after="120"/>
        <w:jc w:val="both"/>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hint="eastAsia" w:ascii="Arial" w:hAnsi="Arial" w:eastAsia="宋体" w:cs="Arial"/>
          <w:b/>
          <w:sz w:val="22"/>
          <w:szCs w:val="22"/>
          <w:lang w:val="en-US" w:eastAsia="zh-CN"/>
        </w:rPr>
        <w:t>Discussion o</w:t>
      </w:r>
      <w:r>
        <w:rPr>
          <w:rFonts w:ascii="Arial" w:hAnsi="Arial" w:cs="Arial"/>
          <w:b/>
          <w:sz w:val="22"/>
          <w:szCs w:val="22"/>
        </w:rPr>
        <w:t>n LR based RRM</w:t>
      </w:r>
    </w:p>
    <w:p>
      <w:pPr>
        <w:tabs>
          <w:tab w:val="left" w:pos="1985"/>
        </w:tabs>
        <w:spacing w:after="120"/>
        <w:jc w:val="both"/>
        <w:rPr>
          <w:rFonts w:ascii="Arial" w:hAnsi="Arial" w:cs="Arial"/>
          <w:b/>
          <w:sz w:val="22"/>
          <w:szCs w:val="22"/>
        </w:rPr>
      </w:pPr>
      <w:r>
        <w:rPr>
          <w:rFonts w:ascii="Arial" w:hAnsi="Arial" w:cs="Arial"/>
          <w:b/>
          <w:sz w:val="22"/>
          <w:szCs w:val="22"/>
        </w:rPr>
        <w:t>Document for:</w:t>
      </w:r>
      <w:r>
        <w:rPr>
          <w:rFonts w:ascii="Arial" w:hAnsi="Arial" w:cs="Arial"/>
          <w:b/>
          <w:sz w:val="22"/>
          <w:szCs w:val="22"/>
        </w:rPr>
        <w:tab/>
      </w:r>
      <w:bookmarkStart w:id="2" w:name="DocumentFor"/>
      <w:bookmarkEnd w:id="2"/>
      <w:r>
        <w:rPr>
          <w:rFonts w:ascii="Arial" w:hAnsi="Arial" w:cs="Arial"/>
          <w:b/>
          <w:sz w:val="22"/>
          <w:szCs w:val="22"/>
        </w:rPr>
        <w:t>Discussion</w:t>
      </w:r>
      <w:bookmarkStart w:id="3" w:name="_GoBack"/>
      <w:bookmarkEnd w:id="3"/>
    </w:p>
    <w:p>
      <w:pPr>
        <w:pStyle w:val="2"/>
        <w:numPr>
          <w:ilvl w:val="0"/>
          <w:numId w:val="11"/>
        </w:numPr>
        <w:pBdr>
          <w:top w:val="single" w:color="auto" w:sz="12" w:space="2"/>
        </w:pBdr>
        <w:jc w:val="both"/>
        <w:rPr>
          <w:sz w:val="32"/>
        </w:rPr>
      </w:pPr>
      <w:r>
        <w:rPr>
          <w:sz w:val="32"/>
        </w:rPr>
        <w:t>Introduction</w:t>
      </w:r>
    </w:p>
    <w:p>
      <w:pPr>
        <w:spacing w:after="120"/>
        <w:jc w:val="both"/>
        <w:rPr>
          <w:sz w:val="20"/>
          <w:szCs w:val="20"/>
        </w:rPr>
      </w:pPr>
      <w:r>
        <w:rPr>
          <w:sz w:val="20"/>
          <w:szCs w:val="20"/>
        </w:rPr>
        <w:t xml:space="preserve">In RAN#101 meeting, the new RRM </w:t>
      </w:r>
      <w:r>
        <w:rPr>
          <w:rFonts w:hint="eastAsia" w:eastAsia="宋体"/>
          <w:sz w:val="20"/>
          <w:szCs w:val="20"/>
          <w:lang w:val="en-US" w:eastAsia="zh-CN"/>
        </w:rPr>
        <w:t xml:space="preserve">objective </w:t>
      </w:r>
      <w:r>
        <w:rPr>
          <w:sz w:val="20"/>
          <w:szCs w:val="20"/>
        </w:rPr>
        <w:t xml:space="preserve">has been added into the </w:t>
      </w:r>
      <w:r>
        <w:rPr>
          <w:rFonts w:hint="eastAsia" w:eastAsia="宋体"/>
          <w:sz w:val="20"/>
          <w:szCs w:val="20"/>
          <w:lang w:val="en-US" w:eastAsia="zh-CN"/>
        </w:rPr>
        <w:t xml:space="preserve">revised </w:t>
      </w:r>
      <w:r>
        <w:rPr>
          <w:sz w:val="20"/>
          <w:szCs w:val="20"/>
        </w:rPr>
        <w:t>SID of the LP-WUR[1].</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tcPr>
          <w:p>
            <w:pPr>
              <w:numPr>
                <w:ilvl w:val="0"/>
                <w:numId w:val="12"/>
              </w:numPr>
              <w:overflowPunct w:val="0"/>
              <w:autoSpaceDE w:val="0"/>
              <w:autoSpaceDN w:val="0"/>
              <w:adjustRightInd w:val="0"/>
              <w:spacing w:after="0"/>
              <w:ind w:right="-99"/>
              <w:textAlignment w:val="baseline"/>
              <w:rPr>
                <w:sz w:val="20"/>
                <w:szCs w:val="20"/>
                <w:lang w:eastAsia="ja-JP"/>
              </w:rPr>
            </w:pPr>
            <w:r>
              <w:rPr>
                <w:rFonts w:hint="eastAsia"/>
                <w:sz w:val="20"/>
                <w:szCs w:val="20"/>
                <w:lang w:eastAsia="ja-JP"/>
              </w:rPr>
              <w:t xml:space="preserve">Study and evaluate wake-up signal designs to support wake-up receivers [RAN1, RAN4] </w:t>
            </w:r>
          </w:p>
          <w:p>
            <w:pPr>
              <w:numPr>
                <w:ilvl w:val="1"/>
                <w:numId w:val="12"/>
              </w:numPr>
              <w:overflowPunct w:val="0"/>
              <w:autoSpaceDE w:val="0"/>
              <w:autoSpaceDN w:val="0"/>
              <w:adjustRightInd w:val="0"/>
              <w:spacing w:after="0"/>
              <w:ind w:right="-99"/>
              <w:textAlignment w:val="baseline"/>
              <w:rPr>
                <w:sz w:val="20"/>
                <w:szCs w:val="20"/>
                <w:highlight w:val="none"/>
                <w:lang w:eastAsia="ja-JP"/>
              </w:rPr>
            </w:pPr>
            <w:r>
              <w:rPr>
                <w:rFonts w:eastAsia="Yu Mincho"/>
                <w:sz w:val="20"/>
                <w:szCs w:val="20"/>
                <w:highlight w:val="none"/>
                <w:lang w:eastAsia="ja-JP"/>
              </w:rPr>
              <w:t xml:space="preserve">To review the outcome of RAN1 studies on serving cell RSRP/RSRQ measurement offloading to LP-WUR for IDLE/INACTIVE mode for feasibility verification [RAN4]. </w:t>
            </w:r>
          </w:p>
          <w:p>
            <w:pPr>
              <w:numPr>
                <w:ilvl w:val="2"/>
                <w:numId w:val="12"/>
              </w:numPr>
              <w:overflowPunct w:val="0"/>
              <w:autoSpaceDE w:val="0"/>
              <w:autoSpaceDN w:val="0"/>
              <w:adjustRightInd w:val="0"/>
              <w:spacing w:after="0"/>
              <w:ind w:right="-99"/>
              <w:textAlignment w:val="baseline"/>
              <w:rPr>
                <w:sz w:val="20"/>
                <w:szCs w:val="20"/>
                <w:highlight w:val="none"/>
                <w:lang w:eastAsia="ja-JP"/>
              </w:rPr>
            </w:pPr>
            <w:r>
              <w:rPr>
                <w:rFonts w:hint="eastAsia"/>
                <w:sz w:val="20"/>
                <w:szCs w:val="20"/>
                <w:highlight w:val="none"/>
                <w:lang w:eastAsia="ja-JP"/>
              </w:rPr>
              <w:t>Consider different LP-WUR architectures:</w:t>
            </w:r>
          </w:p>
          <w:p>
            <w:pPr>
              <w:numPr>
                <w:ilvl w:val="3"/>
                <w:numId w:val="12"/>
              </w:numPr>
              <w:overflowPunct w:val="0"/>
              <w:autoSpaceDE w:val="0"/>
              <w:autoSpaceDN w:val="0"/>
              <w:adjustRightInd w:val="0"/>
              <w:spacing w:after="0"/>
              <w:ind w:right="-99"/>
              <w:textAlignment w:val="baseline"/>
              <w:rPr>
                <w:sz w:val="20"/>
                <w:szCs w:val="20"/>
                <w:highlight w:val="none"/>
                <w:lang w:eastAsia="ja-JP"/>
              </w:rPr>
            </w:pPr>
            <w:r>
              <w:rPr>
                <w:rFonts w:hint="eastAsia"/>
                <w:sz w:val="20"/>
                <w:szCs w:val="20"/>
                <w:highlight w:val="none"/>
                <w:lang w:eastAsia="ja-JP"/>
              </w:rPr>
              <w:t xml:space="preserve">LP-SS based RRM measurement for envelop </w:t>
            </w:r>
            <w:r>
              <w:rPr>
                <w:sz w:val="20"/>
                <w:szCs w:val="20"/>
                <w:highlight w:val="none"/>
                <w:lang w:eastAsia="ja-JP"/>
              </w:rPr>
              <w:t>detection-based</w:t>
            </w:r>
            <w:r>
              <w:rPr>
                <w:rFonts w:hint="eastAsia"/>
                <w:sz w:val="20"/>
                <w:szCs w:val="20"/>
                <w:highlight w:val="none"/>
                <w:lang w:eastAsia="ja-JP"/>
              </w:rPr>
              <w:t xml:space="preserve"> LP-WUR</w:t>
            </w:r>
          </w:p>
          <w:p>
            <w:pPr>
              <w:numPr>
                <w:ilvl w:val="3"/>
                <w:numId w:val="12"/>
              </w:numPr>
              <w:overflowPunct w:val="0"/>
              <w:autoSpaceDE w:val="0"/>
              <w:autoSpaceDN w:val="0"/>
              <w:adjustRightInd w:val="0"/>
              <w:spacing w:after="0"/>
              <w:ind w:right="-99"/>
              <w:textAlignment w:val="baseline"/>
              <w:rPr>
                <w:sz w:val="20"/>
                <w:szCs w:val="20"/>
                <w:highlight w:val="none"/>
                <w:lang w:eastAsia="ja-JP"/>
              </w:rPr>
            </w:pPr>
            <w:r>
              <w:rPr>
                <w:rFonts w:hint="eastAsia"/>
                <w:sz w:val="20"/>
                <w:szCs w:val="20"/>
                <w:highlight w:val="none"/>
                <w:lang w:eastAsia="ja-JP"/>
              </w:rPr>
              <w:t>SSS based RRM measurement for OFDM based LP-WUR</w:t>
            </w:r>
          </w:p>
          <w:p>
            <w:pPr>
              <w:numPr>
                <w:ilvl w:val="2"/>
                <w:numId w:val="12"/>
              </w:numPr>
              <w:overflowPunct w:val="0"/>
              <w:autoSpaceDE w:val="0"/>
              <w:autoSpaceDN w:val="0"/>
              <w:adjustRightInd w:val="0"/>
              <w:spacing w:after="0"/>
              <w:ind w:right="-99"/>
              <w:textAlignment w:val="baseline"/>
              <w:rPr>
                <w:sz w:val="20"/>
                <w:szCs w:val="20"/>
                <w:highlight w:val="none"/>
                <w:lang w:eastAsia="ja-JP"/>
              </w:rPr>
            </w:pPr>
            <w:r>
              <w:rPr>
                <w:rFonts w:hint="eastAsia"/>
                <w:sz w:val="20"/>
                <w:szCs w:val="20"/>
                <w:highlight w:val="none"/>
                <w:lang w:eastAsia="ja-JP"/>
              </w:rPr>
              <w:t>For each of above, to review:</w:t>
            </w:r>
          </w:p>
          <w:p>
            <w:pPr>
              <w:numPr>
                <w:ilvl w:val="3"/>
                <w:numId w:val="12"/>
              </w:numPr>
              <w:overflowPunct w:val="0"/>
              <w:autoSpaceDE w:val="0"/>
              <w:autoSpaceDN w:val="0"/>
              <w:adjustRightInd w:val="0"/>
              <w:spacing w:after="0"/>
              <w:ind w:right="-99"/>
              <w:textAlignment w:val="baseline"/>
              <w:rPr>
                <w:sz w:val="20"/>
                <w:szCs w:val="20"/>
                <w:lang w:eastAsia="ja-JP"/>
              </w:rPr>
            </w:pPr>
            <w:r>
              <w:rPr>
                <w:rFonts w:hint="eastAsia"/>
                <w:sz w:val="20"/>
                <w:szCs w:val="20"/>
                <w:highlight w:val="none"/>
                <w:lang w:eastAsia="ja-JP"/>
              </w:rPr>
              <w:t>SNR target X for LP-WUR RRM measurement considering the practical noise figure of LP-WUR</w:t>
            </w:r>
          </w:p>
        </w:tc>
      </w:tr>
    </w:tbl>
    <w:p>
      <w:pPr>
        <w:spacing w:after="120"/>
        <w:jc w:val="both"/>
        <w:rPr>
          <w:sz w:val="20"/>
          <w:szCs w:val="20"/>
        </w:rPr>
      </w:pPr>
    </w:p>
    <w:p>
      <w:pPr>
        <w:spacing w:after="120"/>
        <w:jc w:val="both"/>
        <w:rPr>
          <w:rFonts w:hint="eastAsia" w:eastAsia="宋体"/>
          <w:sz w:val="20"/>
          <w:szCs w:val="20"/>
          <w:lang w:val="en-US" w:eastAsia="zh-CN"/>
        </w:rPr>
      </w:pPr>
      <w:r>
        <w:rPr>
          <w:rFonts w:hint="eastAsia" w:eastAsia="宋体"/>
          <w:sz w:val="20"/>
          <w:szCs w:val="20"/>
          <w:lang w:val="en-US" w:eastAsia="zh-CN"/>
        </w:rPr>
        <w:t>In last RAN4 meeting, the evaluation methodology conducted by RAN1 is confirmed by RAN4 and the following agreements is achieved in [2].</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spacing w:after="180"/>
              <w:ind w:left="200" w:leftChars="100"/>
              <w:rPr>
                <w:rFonts w:eastAsia="Yu Mincho"/>
                <w:sz w:val="20"/>
                <w:szCs w:val="20"/>
                <w:highlight w:val="green"/>
                <w:lang w:val="en-US" w:eastAsia="ja-JP"/>
              </w:rPr>
            </w:pPr>
            <w:r>
              <w:rPr>
                <w:rFonts w:eastAsia="Yu Mincho"/>
                <w:sz w:val="20"/>
                <w:szCs w:val="20"/>
                <w:highlight w:val="green"/>
                <w:lang w:val="en-US" w:eastAsia="ja-JP"/>
              </w:rPr>
              <w:t xml:space="preserve">RAN4 confirm that the evaluation </w:t>
            </w:r>
            <w:r>
              <w:rPr>
                <w:rFonts w:eastAsia="等线"/>
                <w:sz w:val="20"/>
                <w:szCs w:val="20"/>
                <w:highlight w:val="green"/>
                <w:lang w:val="en-US" w:eastAsia="zh-CN"/>
              </w:rPr>
              <w:t>methodology</w:t>
            </w:r>
            <w:r>
              <w:rPr>
                <w:rFonts w:ascii="等线" w:hAnsi="等线" w:eastAsia="等线"/>
                <w:sz w:val="20"/>
                <w:szCs w:val="20"/>
                <w:highlight w:val="green"/>
                <w:lang w:val="en-US" w:eastAsia="zh-CN"/>
              </w:rPr>
              <w:t xml:space="preserve"> </w:t>
            </w:r>
            <w:r>
              <w:rPr>
                <w:rFonts w:eastAsia="Yu Mincho"/>
                <w:sz w:val="20"/>
                <w:szCs w:val="20"/>
                <w:highlight w:val="green"/>
                <w:lang w:val="en-US" w:eastAsia="ja-JP"/>
              </w:rPr>
              <w:t>by RAN1 in TR38.869 for serving cell RSRP/RSRQ measurement offloading to LP-WUR at IDLE/INACTIVE mode is reasonable for SI phase.</w:t>
            </w:r>
          </w:p>
          <w:p>
            <w:pPr>
              <w:numPr>
                <w:ilvl w:val="0"/>
                <w:numId w:val="13"/>
              </w:numPr>
              <w:overflowPunct/>
              <w:autoSpaceDE/>
              <w:autoSpaceDN/>
              <w:adjustRightInd/>
              <w:spacing w:after="120"/>
              <w:ind w:left="200" w:leftChars="100" w:firstLine="420" w:firstLineChars="0"/>
              <w:textAlignment w:val="auto"/>
              <w:rPr>
                <w:rFonts w:ascii="Times New Roman" w:hAnsi="Times New Roman" w:eastAsia="Yu Mincho" w:cs="Times New Roman"/>
                <w:sz w:val="20"/>
                <w:szCs w:val="20"/>
                <w:highlight w:val="green"/>
                <w:lang w:val="en-GB" w:eastAsia="ja-JP" w:bidi="ar-SA"/>
              </w:rPr>
            </w:pPr>
            <w:r>
              <w:rPr>
                <w:rFonts w:ascii="Times New Roman" w:hAnsi="Times New Roman" w:eastAsia="Yu Mincho" w:cs="Times New Roman"/>
                <w:sz w:val="20"/>
                <w:szCs w:val="20"/>
                <w:highlight w:val="green"/>
                <w:lang w:val="en-GB" w:eastAsia="ja-JP" w:bidi="ar-SA"/>
              </w:rPr>
              <w:t xml:space="preserve">The evaluation </w:t>
            </w:r>
            <w:r>
              <w:rPr>
                <w:rFonts w:ascii="Times New Roman" w:hAnsi="Times New Roman" w:eastAsia="等线" w:cs="Times New Roman"/>
                <w:sz w:val="20"/>
                <w:szCs w:val="20"/>
                <w:highlight w:val="green"/>
                <w:lang w:val="en-GB" w:eastAsia="en-US" w:bidi="ar-SA"/>
              </w:rPr>
              <w:t>methodology</w:t>
            </w:r>
            <w:r>
              <w:rPr>
                <w:rFonts w:ascii="Times New Roman" w:hAnsi="Times New Roman" w:eastAsia="Yu Mincho" w:cs="Times New Roman"/>
                <w:sz w:val="20"/>
                <w:szCs w:val="20"/>
                <w:highlight w:val="green"/>
                <w:lang w:val="en-GB" w:eastAsia="ja-JP" w:bidi="ar-SA"/>
              </w:rPr>
              <w:t xml:space="preserve"> refers to the consideration of side condition, number of samples and accuracy.</w:t>
            </w:r>
          </w:p>
          <w:p>
            <w:pPr>
              <w:numPr>
                <w:ilvl w:val="1"/>
                <w:numId w:val="13"/>
              </w:numPr>
              <w:overflowPunct/>
              <w:autoSpaceDE/>
              <w:autoSpaceDN/>
              <w:adjustRightInd/>
              <w:spacing w:after="120"/>
              <w:ind w:left="620" w:leftChars="310" w:firstLine="420" w:firstLineChars="0"/>
              <w:textAlignment w:val="auto"/>
              <w:rPr>
                <w:rFonts w:ascii="Times New Roman" w:hAnsi="Times New Roman" w:eastAsia="Yu Mincho" w:cs="Times New Roman"/>
                <w:sz w:val="20"/>
                <w:szCs w:val="20"/>
                <w:highlight w:val="green"/>
                <w:lang w:val="en-GB" w:eastAsia="ja-JP" w:bidi="ar-SA"/>
              </w:rPr>
            </w:pPr>
            <w:r>
              <w:rPr>
                <w:rFonts w:ascii="Times New Roman" w:hAnsi="Times New Roman" w:eastAsia="Yu Mincho" w:cs="Times New Roman"/>
                <w:sz w:val="20"/>
                <w:szCs w:val="20"/>
                <w:highlight w:val="green"/>
                <w:lang w:val="en-GB" w:eastAsia="ja-JP" w:bidi="ar-SA"/>
              </w:rPr>
              <w:t>In addition, in RAN4, RF impairment margin is considered.</w:t>
            </w:r>
          </w:p>
          <w:p>
            <w:pPr>
              <w:numPr>
                <w:ilvl w:val="0"/>
                <w:numId w:val="13"/>
              </w:numPr>
              <w:overflowPunct/>
              <w:autoSpaceDE/>
              <w:autoSpaceDN/>
              <w:adjustRightInd/>
              <w:spacing w:after="120"/>
              <w:ind w:left="200" w:leftChars="100" w:firstLine="420" w:firstLineChars="0"/>
              <w:textAlignment w:val="auto"/>
              <w:rPr>
                <w:rFonts w:ascii="Times New Roman" w:hAnsi="Times New Roman" w:eastAsia="Yu Mincho" w:cs="Times New Roman"/>
                <w:sz w:val="20"/>
                <w:szCs w:val="20"/>
                <w:highlight w:val="green"/>
                <w:lang w:val="en-GB" w:eastAsia="ja-JP" w:bidi="ar-SA"/>
              </w:rPr>
            </w:pPr>
            <w:r>
              <w:rPr>
                <w:rFonts w:ascii="Times New Roman" w:hAnsi="Times New Roman" w:eastAsia="Yu Mincho" w:cs="Times New Roman"/>
                <w:sz w:val="20"/>
                <w:szCs w:val="20"/>
                <w:highlight w:val="green"/>
                <w:lang w:val="en-GB" w:eastAsia="ja-JP" w:bidi="ar-SA"/>
              </w:rPr>
              <w:t>Note 1: The detailed parameters for the RAN4 requirements can be further discussed in the WI phase.</w:t>
            </w:r>
          </w:p>
          <w:p>
            <w:pPr>
              <w:numPr>
                <w:ilvl w:val="0"/>
                <w:numId w:val="13"/>
              </w:numPr>
              <w:overflowPunct/>
              <w:autoSpaceDE/>
              <w:autoSpaceDN/>
              <w:adjustRightInd/>
              <w:spacing w:after="120"/>
              <w:ind w:left="200" w:leftChars="100" w:firstLine="420" w:firstLineChars="0"/>
              <w:textAlignment w:val="auto"/>
              <w:rPr>
                <w:rFonts w:ascii="Times New Roman" w:hAnsi="Times New Roman" w:eastAsia="Yu Mincho" w:cs="Times New Roman"/>
                <w:sz w:val="20"/>
                <w:szCs w:val="20"/>
                <w:highlight w:val="green"/>
                <w:lang w:val="en-GB" w:eastAsia="ja-JP" w:bidi="ar-SA"/>
              </w:rPr>
            </w:pPr>
            <w:r>
              <w:rPr>
                <w:rFonts w:ascii="Times New Roman" w:hAnsi="Times New Roman" w:eastAsia="Yu Mincho" w:cs="Times New Roman"/>
                <w:sz w:val="20"/>
                <w:szCs w:val="20"/>
                <w:highlight w:val="green"/>
                <w:lang w:val="en-GB" w:eastAsia="ja-JP" w:bidi="ar-SA"/>
              </w:rPr>
              <w:t>Note 2: The exact values for each aspect (i.e., side condition, number of samples and accuracy) for RAN4 requirements can be further discussed and decided in the WI phase.</w:t>
            </w:r>
          </w:p>
          <w:p>
            <w:pPr>
              <w:numPr>
                <w:ilvl w:val="0"/>
                <w:numId w:val="13"/>
              </w:numPr>
              <w:overflowPunct/>
              <w:autoSpaceDE/>
              <w:autoSpaceDN/>
              <w:adjustRightInd/>
              <w:spacing w:after="120"/>
              <w:ind w:left="200" w:leftChars="100" w:firstLine="420" w:firstLineChars="0"/>
              <w:textAlignment w:val="auto"/>
              <w:rPr>
                <w:rFonts w:ascii="Times New Roman" w:hAnsi="Times New Roman" w:eastAsia="Yu Mincho" w:cs="Times New Roman"/>
                <w:sz w:val="20"/>
                <w:szCs w:val="20"/>
                <w:highlight w:val="green"/>
                <w:lang w:val="en-GB" w:eastAsia="ja-JP" w:bidi="ar-SA"/>
              </w:rPr>
            </w:pPr>
            <w:r>
              <w:rPr>
                <w:rFonts w:ascii="Times New Roman" w:hAnsi="Times New Roman" w:eastAsia="Yu Mincho" w:cs="Times New Roman"/>
                <w:sz w:val="20"/>
                <w:szCs w:val="20"/>
                <w:highlight w:val="green"/>
                <w:lang w:val="en-GB" w:eastAsia="ja-JP" w:bidi="ar-SA"/>
              </w:rPr>
              <w:t xml:space="preserve">Note 3: In </w:t>
            </w:r>
            <w:r>
              <w:rPr>
                <w:rFonts w:ascii="Times New Roman" w:hAnsi="Times New Roman" w:eastAsia="等线" w:cs="Times New Roman"/>
                <w:sz w:val="20"/>
                <w:szCs w:val="20"/>
                <w:highlight w:val="green"/>
                <w:lang w:val="en-GB" w:eastAsia="en-US" w:bidi="ar-SA"/>
              </w:rPr>
              <w:t xml:space="preserve">RAN4 understanding, RAN1 has closed the </w:t>
            </w:r>
            <w:r>
              <w:rPr>
                <w:rFonts w:hint="eastAsia" w:ascii="Times New Roman" w:hAnsi="Times New Roman" w:eastAsia="等线" w:cs="Times New Roman"/>
                <w:sz w:val="20"/>
                <w:szCs w:val="20"/>
                <w:highlight w:val="green"/>
                <w:lang w:val="en-GB" w:eastAsia="en-US" w:bidi="ar-SA"/>
              </w:rPr>
              <w:t>SI</w:t>
            </w:r>
            <w:r>
              <w:rPr>
                <w:rFonts w:ascii="Times New Roman" w:hAnsi="Times New Roman" w:eastAsia="等线" w:cs="Times New Roman"/>
                <w:sz w:val="20"/>
                <w:szCs w:val="20"/>
                <w:highlight w:val="green"/>
                <w:lang w:val="en-GB" w:eastAsia="en-US" w:bidi="ar-SA"/>
              </w:rPr>
              <w:t>.</w:t>
            </w:r>
          </w:p>
          <w:p>
            <w:pPr>
              <w:spacing w:after="180"/>
              <w:ind w:left="200" w:leftChars="100"/>
              <w:rPr>
                <w:rFonts w:eastAsia="等线"/>
                <w:sz w:val="20"/>
                <w:szCs w:val="20"/>
                <w:highlight w:val="green"/>
                <w:lang w:val="en-US" w:eastAsia="zh-CN"/>
              </w:rPr>
            </w:pPr>
            <w:r>
              <w:rPr>
                <w:rFonts w:hint="eastAsia" w:eastAsia="等线"/>
                <w:sz w:val="20"/>
                <w:szCs w:val="20"/>
                <w:highlight w:val="green"/>
                <w:lang w:val="en-US" w:eastAsia="zh-CN"/>
              </w:rPr>
              <w:t>Fo</w:t>
            </w:r>
            <w:r>
              <w:rPr>
                <w:rFonts w:eastAsia="等线"/>
                <w:sz w:val="20"/>
                <w:szCs w:val="20"/>
                <w:highlight w:val="green"/>
                <w:lang w:val="en-US" w:eastAsia="zh-CN"/>
              </w:rPr>
              <w:t>r Issue 1-2-1/2/3/4:</w:t>
            </w:r>
          </w:p>
          <w:p>
            <w:pPr>
              <w:numPr>
                <w:ilvl w:val="0"/>
                <w:numId w:val="13"/>
              </w:numPr>
              <w:overflowPunct/>
              <w:autoSpaceDE/>
              <w:autoSpaceDN/>
              <w:adjustRightInd/>
              <w:spacing w:after="120"/>
              <w:ind w:left="200" w:leftChars="100" w:firstLine="420" w:firstLineChars="0"/>
              <w:textAlignment w:val="auto"/>
              <w:rPr>
                <w:rFonts w:ascii="Times New Roman" w:hAnsi="Times New Roman" w:eastAsia="Yu Mincho" w:cs="Times New Roman"/>
                <w:sz w:val="20"/>
                <w:szCs w:val="20"/>
                <w:highlight w:val="green"/>
                <w:lang w:val="en-GB" w:eastAsia="ja-JP" w:bidi="ar-SA"/>
              </w:rPr>
            </w:pPr>
            <w:r>
              <w:rPr>
                <w:rFonts w:ascii="Times New Roman" w:hAnsi="Times New Roman" w:eastAsia="Yu Mincho" w:cs="Times New Roman"/>
                <w:sz w:val="20"/>
                <w:szCs w:val="20"/>
                <w:highlight w:val="green"/>
                <w:lang w:val="en-GB" w:eastAsia="ja-JP" w:bidi="ar-SA"/>
              </w:rPr>
              <w:t>Option 1: not further discussion in SI phase.</w:t>
            </w:r>
          </w:p>
          <w:p>
            <w:pPr>
              <w:numPr>
                <w:ilvl w:val="0"/>
                <w:numId w:val="13"/>
              </w:numPr>
              <w:overflowPunct/>
              <w:autoSpaceDE/>
              <w:autoSpaceDN/>
              <w:adjustRightInd/>
              <w:spacing w:after="120"/>
              <w:ind w:left="200" w:leftChars="100" w:firstLine="420" w:firstLineChars="0"/>
              <w:textAlignment w:val="auto"/>
              <w:rPr>
                <w:rFonts w:ascii="Times New Roman" w:hAnsi="Times New Roman" w:eastAsia="Yu Mincho" w:cs="Times New Roman"/>
                <w:sz w:val="20"/>
                <w:szCs w:val="20"/>
                <w:highlight w:val="green"/>
                <w:lang w:val="en-GB" w:eastAsia="ja-JP" w:bidi="ar-SA"/>
              </w:rPr>
            </w:pPr>
            <w:r>
              <w:rPr>
                <w:rFonts w:ascii="Times New Roman" w:hAnsi="Times New Roman" w:eastAsia="Yu Mincho" w:cs="Times New Roman"/>
                <w:sz w:val="20"/>
                <w:szCs w:val="20"/>
                <w:highlight w:val="green"/>
                <w:lang w:val="en-GB" w:eastAsia="ja-JP" w:bidi="ar-SA"/>
              </w:rPr>
              <w:t xml:space="preserve">Option 2: further discuss in RAN4 SI phase and the conclusion of these issues are to be made in WI phase. </w:t>
            </w:r>
          </w:p>
          <w:p>
            <w:pPr>
              <w:spacing w:after="180"/>
              <w:rPr>
                <w:rFonts w:hint="eastAsia" w:eastAsia="宋体"/>
                <w:sz w:val="20"/>
                <w:szCs w:val="20"/>
                <w:vertAlign w:val="baseline"/>
                <w:lang w:val="en-US" w:eastAsia="zh-CN"/>
              </w:rPr>
            </w:pPr>
            <w:r>
              <w:rPr>
                <w:rFonts w:hint="eastAsia" w:eastAsia="等线"/>
                <w:sz w:val="20"/>
                <w:szCs w:val="20"/>
                <w:highlight w:val="green"/>
                <w:lang w:val="en-US" w:eastAsia="zh-CN"/>
              </w:rPr>
              <w:t>T</w:t>
            </w:r>
            <w:r>
              <w:rPr>
                <w:rFonts w:eastAsia="等线"/>
                <w:sz w:val="20"/>
                <w:szCs w:val="20"/>
                <w:highlight w:val="green"/>
                <w:lang w:val="en-US" w:eastAsia="zh-CN"/>
              </w:rPr>
              <w:t>he wording for the TP can be further discussed.</w:t>
            </w:r>
          </w:p>
        </w:tc>
      </w:tr>
    </w:tbl>
    <w:p>
      <w:pPr>
        <w:spacing w:after="120"/>
        <w:jc w:val="both"/>
        <w:rPr>
          <w:rFonts w:hint="eastAsia" w:eastAsia="宋体"/>
          <w:sz w:val="20"/>
          <w:szCs w:val="20"/>
          <w:lang w:val="en-US" w:eastAsia="zh-CN"/>
        </w:rPr>
      </w:pPr>
    </w:p>
    <w:p>
      <w:pPr>
        <w:spacing w:after="120"/>
        <w:jc w:val="both"/>
        <w:rPr>
          <w:rFonts w:hint="default" w:eastAsia="宋体"/>
          <w:sz w:val="20"/>
          <w:szCs w:val="20"/>
          <w:lang w:val="en-US" w:eastAsia="zh-CN"/>
        </w:rPr>
      </w:pPr>
      <w:r>
        <w:rPr>
          <w:rFonts w:hint="eastAsia" w:eastAsia="宋体"/>
          <w:sz w:val="20"/>
          <w:szCs w:val="20"/>
          <w:lang w:val="en-US" w:eastAsia="zh-CN"/>
        </w:rPr>
        <w:t>In this contribution, we provide our considerations on WUR from the RRM perspective and discuss the possible open issues for this SI and future WI.</w:t>
      </w:r>
    </w:p>
    <w:p>
      <w:pPr>
        <w:pStyle w:val="2"/>
        <w:numPr>
          <w:ilvl w:val="0"/>
          <w:numId w:val="11"/>
        </w:numPr>
        <w:pBdr>
          <w:top w:val="single" w:color="auto" w:sz="12" w:space="2"/>
        </w:pBdr>
        <w:jc w:val="both"/>
        <w:rPr>
          <w:sz w:val="32"/>
        </w:rPr>
      </w:pPr>
      <w:r>
        <w:rPr>
          <w:sz w:val="32"/>
        </w:rPr>
        <w:t>Discussion</w:t>
      </w:r>
    </w:p>
    <w:p>
      <w:pPr>
        <w:spacing w:after="0"/>
        <w:jc w:val="both"/>
        <w:rPr>
          <w:rFonts w:hint="eastAsia"/>
          <w:lang w:val="en-US" w:eastAsia="zh-CN"/>
        </w:rPr>
      </w:pPr>
      <w:r>
        <w:rPr>
          <w:rFonts w:hint="eastAsia"/>
          <w:lang w:val="en-US" w:eastAsia="zh-CN"/>
        </w:rPr>
        <w:t xml:space="preserve">The methodology has been confirmed and some detailed parameters and the candidate values may be revisited according to the agreement. Regarding the RF impairment margin, it should be additionally considered in the absolute accuracy since it can not be implied in the baseband inaccuracy evaluation. While for the relative accuracy, the RF impairment margin is counteracted since the differentiation operation. </w:t>
      </w:r>
    </w:p>
    <w:p>
      <w:pPr>
        <w:spacing w:after="0"/>
        <w:jc w:val="both"/>
        <w:rPr>
          <w:rFonts w:hint="eastAsia"/>
          <w:lang w:val="en-US" w:eastAsia="zh-CN"/>
        </w:rPr>
      </w:pPr>
    </w:p>
    <w:p>
      <w:pPr>
        <w:spacing w:after="0"/>
        <w:jc w:val="both"/>
        <w:rPr>
          <w:rFonts w:hint="eastAsia"/>
          <w:lang w:val="en-US" w:eastAsia="zh-CN"/>
        </w:rPr>
      </w:pPr>
      <w:r>
        <w:rPr>
          <w:rFonts w:hint="eastAsia"/>
          <w:lang w:val="en-US" w:eastAsia="zh-CN"/>
        </w:rPr>
        <w:t>Take the relative accuracy as an example, the existing requirements is shown as follows:</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Table 10.1.2.1.2-1: SS-RSRP Intra frequency relative accuracy in FR1</w:t>
      </w:r>
    </w:p>
    <w:tbl>
      <w:tblPr>
        <w:tblStyle w:val="58"/>
        <w:tblW w:w="10172" w:type="dxa"/>
        <w:jc w:val="center"/>
        <w:tblLayout w:type="autofit"/>
        <w:tblCellMar>
          <w:top w:w="0" w:type="dxa"/>
          <w:left w:w="108" w:type="dxa"/>
          <w:bottom w:w="0" w:type="dxa"/>
          <w:right w:w="108" w:type="dxa"/>
        </w:tblCellMar>
      </w:tblPr>
      <w:tblGrid>
        <w:gridCol w:w="1033"/>
        <w:gridCol w:w="1049"/>
        <w:gridCol w:w="807"/>
        <w:gridCol w:w="2349"/>
        <w:gridCol w:w="1027"/>
        <w:gridCol w:w="1027"/>
        <w:gridCol w:w="1440"/>
        <w:gridCol w:w="1440"/>
      </w:tblGrid>
      <w:tr>
        <w:tblPrEx>
          <w:tblCellMar>
            <w:top w:w="0" w:type="dxa"/>
            <w:left w:w="108" w:type="dxa"/>
            <w:bottom w:w="0" w:type="dxa"/>
            <w:right w:w="108" w:type="dxa"/>
          </w:tblCellMar>
        </w:tblPrEx>
        <w:trPr>
          <w:jc w:val="center"/>
        </w:trPr>
        <w:tc>
          <w:tcPr>
            <w:tcW w:w="2082" w:type="dxa"/>
            <w:gridSpan w:val="2"/>
            <w:tcBorders>
              <w:top w:val="single" w:color="auto" w:sz="4" w:space="0"/>
              <w:left w:val="single" w:color="auto" w:sz="4" w:space="0"/>
              <w:bottom w:val="single" w:color="auto" w:sz="6" w:space="0"/>
              <w:right w:val="single" w:color="auto" w:sz="6"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Accuracy</w:t>
            </w:r>
          </w:p>
        </w:tc>
        <w:tc>
          <w:tcPr>
            <w:tcW w:w="8090" w:type="dxa"/>
            <w:gridSpan w:val="6"/>
            <w:tcBorders>
              <w:top w:val="single" w:color="auto" w:sz="4" w:space="0"/>
              <w:left w:val="single" w:color="auto" w:sz="6" w:space="0"/>
              <w:bottom w:val="single" w:color="auto" w:sz="6"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Conditions</w:t>
            </w:r>
          </w:p>
        </w:tc>
      </w:tr>
      <w:tr>
        <w:tblPrEx>
          <w:tblCellMar>
            <w:top w:w="0" w:type="dxa"/>
            <w:left w:w="108" w:type="dxa"/>
            <w:bottom w:w="0" w:type="dxa"/>
            <w:right w:w="108" w:type="dxa"/>
          </w:tblCellMar>
        </w:tblPrEx>
        <w:trPr>
          <w:jc w:val="center"/>
        </w:trPr>
        <w:tc>
          <w:tcPr>
            <w:tcW w:w="1033" w:type="dxa"/>
            <w:tcBorders>
              <w:top w:val="single" w:color="auto" w:sz="6" w:space="0"/>
              <w:left w:val="single" w:color="auto" w:sz="4" w:space="0"/>
              <w:bottom w:val="single" w:color="auto" w:sz="6" w:space="0"/>
              <w:right w:val="single" w:color="auto" w:sz="6"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Normal condition</w:t>
            </w:r>
          </w:p>
        </w:tc>
        <w:tc>
          <w:tcPr>
            <w:tcW w:w="1049" w:type="dxa"/>
            <w:tcBorders>
              <w:top w:val="single" w:color="auto" w:sz="6" w:space="0"/>
              <w:left w:val="single" w:color="auto" w:sz="6" w:space="0"/>
              <w:bottom w:val="single" w:color="auto" w:sz="4" w:space="0"/>
              <w:right w:val="single" w:color="auto" w:sz="6"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Extreme condition</w:t>
            </w:r>
          </w:p>
        </w:tc>
        <w:tc>
          <w:tcPr>
            <w:tcW w:w="807" w:type="dxa"/>
            <w:tcBorders>
              <w:top w:val="single" w:color="auto" w:sz="4" w:space="0"/>
              <w:left w:val="single" w:color="auto" w:sz="6" w:space="0"/>
              <w:bottom w:val="single" w:color="auto" w:sz="4" w:space="0"/>
              <w:right w:val="single" w:color="auto" w:sz="6"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SSB Ês/Iot</w:t>
            </w:r>
            <w:r>
              <w:rPr>
                <w:rFonts w:ascii="Arial" w:hAnsi="Arial" w:eastAsia="Times New Roman" w:cs="Times New Roman"/>
                <w:b/>
                <w:sz w:val="18"/>
                <w:vertAlign w:val="superscript"/>
                <w:lang w:val="en-GB" w:eastAsia="en-GB" w:bidi="ar-SA"/>
              </w:rPr>
              <w:t xml:space="preserve"> Note 2</w:t>
            </w:r>
          </w:p>
        </w:tc>
        <w:tc>
          <w:tcPr>
            <w:tcW w:w="7283" w:type="dxa"/>
            <w:gridSpan w:val="5"/>
            <w:tcBorders>
              <w:top w:val="single" w:color="auto" w:sz="6" w:space="0"/>
              <w:left w:val="single" w:color="auto" w:sz="6" w:space="0"/>
              <w:bottom w:val="single" w:color="auto" w:sz="6"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Io</w:t>
            </w:r>
            <w:r>
              <w:rPr>
                <w:rFonts w:ascii="Arial" w:hAnsi="Arial" w:eastAsia="Times New Roman" w:cs="Times New Roman"/>
                <w:b/>
                <w:sz w:val="18"/>
                <w:vertAlign w:val="superscript"/>
                <w:lang w:val="en-GB" w:eastAsia="en-GB" w:bidi="ar-SA"/>
              </w:rPr>
              <w:t xml:space="preserve"> Note 1</w:t>
            </w:r>
            <w:r>
              <w:rPr>
                <w:rFonts w:ascii="Arial" w:hAnsi="Arial" w:eastAsia="Times New Roman" w:cs="Times New Roman"/>
                <w:b/>
                <w:sz w:val="18"/>
                <w:lang w:val="en-GB" w:eastAsia="en-GB" w:bidi="ar-SA"/>
              </w:rPr>
              <w:t xml:space="preserve"> range</w:t>
            </w:r>
          </w:p>
        </w:tc>
      </w:tr>
      <w:tr>
        <w:tblPrEx>
          <w:tblCellMar>
            <w:top w:w="0" w:type="dxa"/>
            <w:left w:w="108" w:type="dxa"/>
            <w:bottom w:w="0" w:type="dxa"/>
            <w:right w:w="108" w:type="dxa"/>
          </w:tblCellMar>
        </w:tblPrEx>
        <w:trPr>
          <w:jc w:val="center"/>
        </w:trPr>
        <w:tc>
          <w:tcPr>
            <w:tcW w:w="1033" w:type="dxa"/>
            <w:tcBorders>
              <w:top w:val="single" w:color="auto" w:sz="6" w:space="0"/>
              <w:left w:val="single" w:color="auto" w:sz="4" w:space="0"/>
              <w:bottom w:val="single" w:color="auto" w:sz="6" w:space="0"/>
              <w:right w:val="single" w:color="auto" w:sz="6"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p>
        </w:tc>
        <w:tc>
          <w:tcPr>
            <w:tcW w:w="1049" w:type="dxa"/>
            <w:tcBorders>
              <w:top w:val="single" w:color="auto" w:sz="4" w:space="0"/>
              <w:left w:val="single" w:color="auto" w:sz="6" w:space="0"/>
              <w:bottom w:val="single" w:color="auto" w:sz="6" w:space="0"/>
              <w:right w:val="single" w:color="auto" w:sz="6"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p>
        </w:tc>
        <w:tc>
          <w:tcPr>
            <w:tcW w:w="807" w:type="dxa"/>
            <w:tcBorders>
              <w:top w:val="single" w:color="auto" w:sz="4" w:space="0"/>
              <w:left w:val="single" w:color="auto" w:sz="6" w:space="0"/>
              <w:bottom w:val="single" w:color="auto" w:sz="6" w:space="0"/>
              <w:right w:val="single" w:color="auto" w:sz="6"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p>
        </w:tc>
        <w:tc>
          <w:tcPr>
            <w:tcW w:w="2349" w:type="dxa"/>
            <w:tcBorders>
              <w:top w:val="single" w:color="auto" w:sz="6" w:space="0"/>
              <w:left w:val="single" w:color="auto" w:sz="6" w:space="0"/>
              <w:bottom w:val="single" w:color="auto" w:sz="6"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NR operating band groups</w:t>
            </w:r>
            <w:r>
              <w:rPr>
                <w:rFonts w:ascii="Arial" w:hAnsi="Arial" w:eastAsia="Times New Roman" w:cs="Times New Roman"/>
                <w:b/>
                <w:sz w:val="18"/>
                <w:vertAlign w:val="superscript"/>
                <w:lang w:val="en-GB" w:eastAsia="en-GB" w:bidi="ar-SA"/>
              </w:rPr>
              <w:t xml:space="preserve"> Note 4</w:t>
            </w:r>
          </w:p>
        </w:tc>
        <w:tc>
          <w:tcPr>
            <w:tcW w:w="3494" w:type="dxa"/>
            <w:gridSpan w:val="3"/>
            <w:tcBorders>
              <w:top w:val="single" w:color="auto" w:sz="4" w:space="0"/>
              <w:left w:val="single" w:color="auto" w:sz="4" w:space="0"/>
              <w:bottom w:val="single" w:color="auto" w:sz="6" w:space="0"/>
              <w:right w:val="single" w:color="auto" w:sz="6"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Minimum Io</w:t>
            </w:r>
          </w:p>
        </w:tc>
        <w:tc>
          <w:tcPr>
            <w:tcW w:w="1440" w:type="dxa"/>
            <w:tcBorders>
              <w:top w:val="single" w:color="auto" w:sz="4" w:space="0"/>
              <w:left w:val="single" w:color="auto" w:sz="6" w:space="0"/>
              <w:bottom w:val="single" w:color="auto" w:sz="6"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Maximum Io</w:t>
            </w:r>
          </w:p>
        </w:tc>
      </w:tr>
      <w:tr>
        <w:trPr>
          <w:trHeight w:val="308" w:hRule="atLeast"/>
          <w:jc w:val="center"/>
        </w:trPr>
        <w:tc>
          <w:tcPr>
            <w:tcW w:w="1033" w:type="dxa"/>
            <w:tcBorders>
              <w:top w:val="single" w:color="auto" w:sz="6" w:space="0"/>
              <w:left w:val="single" w:color="auto" w:sz="4" w:space="0"/>
              <w:right w:val="single" w:color="auto" w:sz="6"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dB</w:t>
            </w:r>
          </w:p>
        </w:tc>
        <w:tc>
          <w:tcPr>
            <w:tcW w:w="1049" w:type="dxa"/>
            <w:tcBorders>
              <w:top w:val="single" w:color="auto" w:sz="6" w:space="0"/>
              <w:left w:val="single" w:color="auto" w:sz="6" w:space="0"/>
              <w:right w:val="single" w:color="auto" w:sz="6"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dB</w:t>
            </w:r>
          </w:p>
        </w:tc>
        <w:tc>
          <w:tcPr>
            <w:tcW w:w="807" w:type="dxa"/>
            <w:tcBorders>
              <w:top w:val="single" w:color="auto" w:sz="6" w:space="0"/>
              <w:left w:val="single" w:color="auto" w:sz="6" w:space="0"/>
              <w:right w:val="single" w:color="auto" w:sz="6"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dB</w:t>
            </w:r>
          </w:p>
        </w:tc>
        <w:tc>
          <w:tcPr>
            <w:tcW w:w="2349" w:type="dxa"/>
            <w:tcBorders>
              <w:top w:val="single" w:color="auto" w:sz="6" w:space="0"/>
              <w:left w:val="single" w:color="auto" w:sz="6"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p>
        </w:tc>
        <w:tc>
          <w:tcPr>
            <w:tcW w:w="2054" w:type="dxa"/>
            <w:gridSpan w:val="2"/>
            <w:tcBorders>
              <w:top w:val="single" w:color="auto" w:sz="6" w:space="0"/>
              <w:left w:val="single" w:color="auto" w:sz="4" w:space="0"/>
              <w:bottom w:val="single" w:color="auto" w:sz="6" w:space="0"/>
              <w:right w:val="single" w:color="auto" w:sz="6"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Arial"/>
                <w:b/>
                <w:sz w:val="18"/>
                <w:lang w:val="en-GB" w:eastAsia="en-GB" w:bidi="ar-SA"/>
              </w:rPr>
              <w:t xml:space="preserve">dBm / </w:t>
            </w:r>
            <w:r>
              <w:rPr>
                <w:rFonts w:ascii="Arial" w:hAnsi="Arial" w:eastAsia="Times New Roman" w:cs="Times New Roman"/>
                <w:b/>
                <w:sz w:val="18"/>
                <w:lang w:val="en-GB" w:eastAsia="en-GB" w:bidi="ar-SA"/>
              </w:rPr>
              <w:t>SCS</w:t>
            </w:r>
            <w:r>
              <w:rPr>
                <w:rFonts w:ascii="Arial" w:hAnsi="Arial" w:eastAsia="Times New Roman" w:cs="Times New Roman"/>
                <w:b/>
                <w:sz w:val="18"/>
                <w:vertAlign w:val="subscript"/>
                <w:lang w:val="en-GB" w:eastAsia="en-GB" w:bidi="ar-SA"/>
              </w:rPr>
              <w:t>SSB</w:t>
            </w:r>
          </w:p>
        </w:tc>
        <w:tc>
          <w:tcPr>
            <w:tcW w:w="1440" w:type="dxa"/>
            <w:tcBorders>
              <w:top w:val="single" w:color="auto" w:sz="6" w:space="0"/>
              <w:left w:val="single" w:color="auto" w:sz="6" w:space="0"/>
              <w:right w:val="single" w:color="auto" w:sz="6"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dBm/BW</w:t>
            </w:r>
            <w:r>
              <w:rPr>
                <w:rFonts w:ascii="Arial" w:hAnsi="Arial" w:eastAsia="Times New Roman" w:cs="Times New Roman"/>
                <w:b/>
                <w:sz w:val="18"/>
                <w:vertAlign w:val="subscript"/>
                <w:lang w:val="en-GB" w:eastAsia="en-GB" w:bidi="ar-SA"/>
              </w:rPr>
              <w:t>Channel</w:t>
            </w:r>
          </w:p>
        </w:tc>
        <w:tc>
          <w:tcPr>
            <w:tcW w:w="1440" w:type="dxa"/>
            <w:tcBorders>
              <w:top w:val="single" w:color="auto" w:sz="6" w:space="0"/>
              <w:left w:val="single" w:color="auto" w:sz="6"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dBm/BW</w:t>
            </w:r>
            <w:r>
              <w:rPr>
                <w:rFonts w:ascii="Arial" w:hAnsi="Arial" w:eastAsia="Times New Roman" w:cs="Times New Roman"/>
                <w:b/>
                <w:sz w:val="18"/>
                <w:vertAlign w:val="subscript"/>
                <w:lang w:val="en-GB" w:eastAsia="en-GB" w:bidi="ar-SA"/>
              </w:rPr>
              <w:t>Channel</w:t>
            </w:r>
          </w:p>
        </w:tc>
      </w:tr>
      <w:tr>
        <w:tblPrEx>
          <w:tblCellMar>
            <w:top w:w="0" w:type="dxa"/>
            <w:left w:w="108" w:type="dxa"/>
            <w:bottom w:w="0" w:type="dxa"/>
            <w:right w:w="108" w:type="dxa"/>
          </w:tblCellMar>
        </w:tblPrEx>
        <w:trPr>
          <w:trHeight w:val="307" w:hRule="atLeast"/>
          <w:jc w:val="center"/>
        </w:trPr>
        <w:tc>
          <w:tcPr>
            <w:tcW w:w="1033" w:type="dxa"/>
            <w:tcBorders>
              <w:left w:val="single" w:color="auto" w:sz="4" w:space="0"/>
              <w:bottom w:val="single" w:color="auto" w:sz="6" w:space="0"/>
              <w:right w:val="single" w:color="auto" w:sz="6"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p>
        </w:tc>
        <w:tc>
          <w:tcPr>
            <w:tcW w:w="1049" w:type="dxa"/>
            <w:tcBorders>
              <w:left w:val="single" w:color="auto" w:sz="6" w:space="0"/>
              <w:bottom w:val="single" w:color="auto" w:sz="6" w:space="0"/>
              <w:right w:val="single" w:color="auto" w:sz="6"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p>
        </w:tc>
        <w:tc>
          <w:tcPr>
            <w:tcW w:w="807" w:type="dxa"/>
            <w:tcBorders>
              <w:left w:val="single" w:color="auto" w:sz="6" w:space="0"/>
              <w:bottom w:val="single" w:color="auto" w:sz="6" w:space="0"/>
              <w:right w:val="single" w:color="auto" w:sz="6"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p>
        </w:tc>
        <w:tc>
          <w:tcPr>
            <w:tcW w:w="2349" w:type="dxa"/>
            <w:tcBorders>
              <w:left w:val="single" w:color="auto" w:sz="6" w:space="0"/>
              <w:bottom w:val="single" w:color="auto" w:sz="6"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p>
        </w:tc>
        <w:tc>
          <w:tcPr>
            <w:tcW w:w="1027" w:type="dxa"/>
            <w:tcBorders>
              <w:top w:val="single" w:color="auto" w:sz="6" w:space="0"/>
              <w:left w:val="single" w:color="auto" w:sz="4" w:space="0"/>
              <w:bottom w:val="single" w:color="auto" w:sz="6" w:space="0"/>
              <w:right w:val="single" w:color="auto" w:sz="6"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en-GB" w:bidi="ar-SA"/>
              </w:rPr>
            </w:pPr>
            <w:r>
              <w:rPr>
                <w:rFonts w:ascii="Arial" w:hAnsi="Arial" w:eastAsia="Times New Roman" w:cs="Times New Roman"/>
                <w:b/>
                <w:sz w:val="18"/>
                <w:lang w:val="en-GB" w:eastAsia="en-GB" w:bidi="ar-SA"/>
              </w:rPr>
              <w:t>SCS</w:t>
            </w:r>
            <w:r>
              <w:rPr>
                <w:rFonts w:ascii="Arial" w:hAnsi="Arial" w:eastAsia="Times New Roman" w:cs="Times New Roman"/>
                <w:b/>
                <w:sz w:val="18"/>
                <w:vertAlign w:val="subscript"/>
                <w:lang w:val="en-GB" w:eastAsia="en-GB" w:bidi="ar-SA"/>
              </w:rPr>
              <w:t>SSB</w:t>
            </w:r>
            <w:r>
              <w:rPr>
                <w:rFonts w:ascii="Arial" w:hAnsi="Arial" w:eastAsia="Times New Roman" w:cs="Arial"/>
                <w:b/>
                <w:sz w:val="18"/>
                <w:lang w:val="en-GB" w:eastAsia="en-GB" w:bidi="ar-SA"/>
              </w:rPr>
              <w:t xml:space="preserve"> = 15 kHz</w:t>
            </w:r>
          </w:p>
        </w:tc>
        <w:tc>
          <w:tcPr>
            <w:tcW w:w="1027" w:type="dxa"/>
            <w:tcBorders>
              <w:top w:val="single" w:color="auto" w:sz="6" w:space="0"/>
              <w:left w:val="single" w:color="auto" w:sz="4" w:space="0"/>
              <w:bottom w:val="single" w:color="auto" w:sz="6" w:space="0"/>
              <w:right w:val="single" w:color="auto" w:sz="6"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en-GB" w:bidi="ar-SA"/>
              </w:rPr>
            </w:pPr>
            <w:r>
              <w:rPr>
                <w:rFonts w:ascii="Arial" w:hAnsi="Arial" w:eastAsia="Times New Roman" w:cs="Times New Roman"/>
                <w:b/>
                <w:sz w:val="18"/>
                <w:lang w:val="en-GB" w:eastAsia="en-GB" w:bidi="ar-SA"/>
              </w:rPr>
              <w:t>SCS</w:t>
            </w:r>
            <w:r>
              <w:rPr>
                <w:rFonts w:ascii="Arial" w:hAnsi="Arial" w:eastAsia="Times New Roman" w:cs="Times New Roman"/>
                <w:b/>
                <w:sz w:val="18"/>
                <w:vertAlign w:val="subscript"/>
                <w:lang w:val="en-GB" w:eastAsia="en-GB" w:bidi="ar-SA"/>
              </w:rPr>
              <w:t>SSB</w:t>
            </w:r>
            <w:r>
              <w:rPr>
                <w:rFonts w:ascii="Arial" w:hAnsi="Arial" w:eastAsia="Times New Roman" w:cs="Arial"/>
                <w:b/>
                <w:sz w:val="18"/>
                <w:lang w:val="en-GB" w:eastAsia="en-GB" w:bidi="ar-SA"/>
              </w:rPr>
              <w:t xml:space="preserve"> = 30 kHz</w:t>
            </w:r>
          </w:p>
        </w:tc>
        <w:tc>
          <w:tcPr>
            <w:tcW w:w="1440" w:type="dxa"/>
            <w:tcBorders>
              <w:left w:val="single" w:color="auto" w:sz="6" w:space="0"/>
              <w:bottom w:val="single" w:color="auto" w:sz="6" w:space="0"/>
              <w:right w:val="single" w:color="auto" w:sz="6"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p>
        </w:tc>
        <w:tc>
          <w:tcPr>
            <w:tcW w:w="1440" w:type="dxa"/>
            <w:tcBorders>
              <w:left w:val="single" w:color="auto" w:sz="6" w:space="0"/>
              <w:bottom w:val="single" w:color="auto" w:sz="6"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p>
        </w:tc>
      </w:tr>
      <w:tr>
        <w:tblPrEx>
          <w:tblCellMar>
            <w:top w:w="0" w:type="dxa"/>
            <w:left w:w="108" w:type="dxa"/>
            <w:bottom w:w="0" w:type="dxa"/>
            <w:right w:w="108" w:type="dxa"/>
          </w:tblCellMar>
        </w:tblPrEx>
        <w:trPr>
          <w:jc w:val="center"/>
        </w:trPr>
        <w:tc>
          <w:tcPr>
            <w:tcW w:w="1033" w:type="dxa"/>
            <w:tcBorders>
              <w:top w:val="single" w:color="auto" w:sz="6" w:space="0"/>
              <w:left w:val="single" w:color="auto" w:sz="4" w:space="0"/>
              <w:right w:val="single" w:color="auto" w:sz="6"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49" w:type="dxa"/>
            <w:tcBorders>
              <w:top w:val="single" w:color="auto" w:sz="6" w:space="0"/>
              <w:left w:val="single" w:color="auto" w:sz="6" w:space="0"/>
              <w:right w:val="single" w:color="auto" w:sz="6"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807" w:type="dxa"/>
            <w:tcBorders>
              <w:top w:val="single" w:color="auto" w:sz="6" w:space="0"/>
              <w:left w:val="single" w:color="auto" w:sz="6" w:space="0"/>
              <w:right w:val="single" w:color="auto" w:sz="6"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349" w:type="dxa"/>
            <w:tcBorders>
              <w:top w:val="single" w:color="auto" w:sz="6" w:space="0"/>
              <w:left w:val="single" w:color="auto" w:sz="6" w:space="0"/>
              <w:bottom w:val="single" w:color="auto" w:sz="6"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NR_FDD_FR1_A, NR_TDD_FR1_A,</w:t>
            </w:r>
          </w:p>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NR_SDL_FR1_A</w:t>
            </w:r>
          </w:p>
        </w:tc>
        <w:tc>
          <w:tcPr>
            <w:tcW w:w="1027" w:type="dxa"/>
            <w:tcBorders>
              <w:top w:val="single" w:color="auto" w:sz="6" w:space="0"/>
              <w:left w:val="single" w:color="auto" w:sz="4" w:space="0"/>
              <w:bottom w:val="single" w:color="auto" w:sz="6" w:space="0"/>
              <w:right w:val="single" w:color="auto" w:sz="6"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-121</w:t>
            </w:r>
          </w:p>
        </w:tc>
        <w:tc>
          <w:tcPr>
            <w:tcW w:w="1027" w:type="dxa"/>
            <w:tcBorders>
              <w:top w:val="single" w:color="auto" w:sz="6" w:space="0"/>
              <w:left w:val="single" w:color="auto" w:sz="4" w:space="0"/>
              <w:bottom w:val="single" w:color="auto" w:sz="6" w:space="0"/>
              <w:right w:val="single" w:color="auto" w:sz="6"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-118</w:t>
            </w:r>
          </w:p>
        </w:tc>
        <w:tc>
          <w:tcPr>
            <w:tcW w:w="1440" w:type="dxa"/>
            <w:tcBorders>
              <w:top w:val="single" w:color="auto" w:sz="6" w:space="0"/>
              <w:left w:val="single" w:color="auto" w:sz="6" w:space="0"/>
              <w:bottom w:val="single" w:color="auto" w:sz="6" w:space="0"/>
              <w:right w:val="single" w:color="auto" w:sz="6"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440" w:type="dxa"/>
            <w:tcBorders>
              <w:top w:val="single" w:color="auto" w:sz="6" w:space="0"/>
              <w:left w:val="single" w:color="auto" w:sz="6" w:space="0"/>
              <w:bottom w:val="single" w:color="auto" w:sz="6"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r>
      <w:tr>
        <w:tblPrEx>
          <w:tblCellMar>
            <w:top w:w="0" w:type="dxa"/>
            <w:left w:w="108" w:type="dxa"/>
            <w:bottom w:w="0" w:type="dxa"/>
            <w:right w:w="108" w:type="dxa"/>
          </w:tblCellMar>
        </w:tblPrEx>
        <w:trPr>
          <w:jc w:val="center"/>
        </w:trPr>
        <w:tc>
          <w:tcPr>
            <w:tcW w:w="1033" w:type="dxa"/>
            <w:tcBorders>
              <w:left w:val="single" w:color="auto" w:sz="4" w:space="0"/>
              <w:right w:val="single" w:color="auto" w:sz="6"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49" w:type="dxa"/>
            <w:tcBorders>
              <w:left w:val="single" w:color="auto" w:sz="6" w:space="0"/>
              <w:right w:val="single" w:color="auto" w:sz="6"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807" w:type="dxa"/>
            <w:tcBorders>
              <w:left w:val="single" w:color="auto" w:sz="6" w:space="0"/>
              <w:right w:val="single" w:color="auto" w:sz="6"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349" w:type="dxa"/>
            <w:tcBorders>
              <w:top w:val="single" w:color="auto" w:sz="6" w:space="0"/>
              <w:left w:val="single" w:color="auto" w:sz="6" w:space="0"/>
              <w:bottom w:val="single" w:color="auto" w:sz="6"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NR_FDD_FR1_B</w:t>
            </w:r>
          </w:p>
        </w:tc>
        <w:tc>
          <w:tcPr>
            <w:tcW w:w="1027" w:type="dxa"/>
            <w:tcBorders>
              <w:top w:val="single" w:color="auto" w:sz="6" w:space="0"/>
              <w:left w:val="single" w:color="auto" w:sz="4" w:space="0"/>
              <w:bottom w:val="single" w:color="auto" w:sz="6" w:space="0"/>
              <w:right w:val="single" w:color="auto" w:sz="6"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-120.5</w:t>
            </w:r>
          </w:p>
        </w:tc>
        <w:tc>
          <w:tcPr>
            <w:tcW w:w="1027" w:type="dxa"/>
            <w:tcBorders>
              <w:top w:val="single" w:color="auto" w:sz="6" w:space="0"/>
              <w:left w:val="single" w:color="auto" w:sz="4" w:space="0"/>
              <w:bottom w:val="single" w:color="auto" w:sz="6" w:space="0"/>
              <w:right w:val="single" w:color="auto" w:sz="6"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sv-SE" w:eastAsia="en-GB" w:bidi="ar-SA"/>
              </w:rPr>
            </w:pPr>
            <w:r>
              <w:rPr>
                <w:rFonts w:ascii="Arial" w:hAnsi="Arial" w:eastAsia="Times New Roman" w:cs="Times New Roman"/>
                <w:sz w:val="18"/>
                <w:lang w:val="en-GB" w:eastAsia="en-GB" w:bidi="ar-SA"/>
              </w:rPr>
              <w:t>-117.5</w:t>
            </w:r>
          </w:p>
        </w:tc>
        <w:tc>
          <w:tcPr>
            <w:tcW w:w="1440" w:type="dxa"/>
            <w:tcBorders>
              <w:top w:val="single" w:color="auto" w:sz="6" w:space="0"/>
              <w:left w:val="single" w:color="auto" w:sz="6" w:space="0"/>
              <w:bottom w:val="single" w:color="auto" w:sz="6" w:space="0"/>
              <w:right w:val="single" w:color="auto" w:sz="6"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ja-JP" w:bidi="ar-SA"/>
              </w:rPr>
              <w:t>N/A</w:t>
            </w:r>
          </w:p>
        </w:tc>
        <w:tc>
          <w:tcPr>
            <w:tcW w:w="1440" w:type="dxa"/>
            <w:tcBorders>
              <w:top w:val="single" w:color="auto" w:sz="6" w:space="0"/>
              <w:left w:val="single" w:color="auto" w:sz="6" w:space="0"/>
              <w:bottom w:val="single" w:color="auto" w:sz="6"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r>
      <w:tr>
        <w:tblPrEx>
          <w:tblCellMar>
            <w:top w:w="0" w:type="dxa"/>
            <w:left w:w="108" w:type="dxa"/>
            <w:bottom w:w="0" w:type="dxa"/>
            <w:right w:w="108" w:type="dxa"/>
          </w:tblCellMar>
        </w:tblPrEx>
        <w:trPr>
          <w:jc w:val="center"/>
        </w:trPr>
        <w:tc>
          <w:tcPr>
            <w:tcW w:w="1033" w:type="dxa"/>
            <w:tcBorders>
              <w:left w:val="single" w:color="auto" w:sz="4" w:space="0"/>
              <w:right w:val="single" w:color="auto" w:sz="6"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49" w:type="dxa"/>
            <w:tcBorders>
              <w:left w:val="single" w:color="auto" w:sz="6" w:space="0"/>
              <w:right w:val="single" w:color="auto" w:sz="6"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807" w:type="dxa"/>
            <w:tcBorders>
              <w:left w:val="single" w:color="auto" w:sz="6" w:space="0"/>
              <w:right w:val="single" w:color="auto" w:sz="6"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349" w:type="dxa"/>
            <w:tcBorders>
              <w:top w:val="single" w:color="auto" w:sz="6" w:space="0"/>
              <w:left w:val="single" w:color="auto" w:sz="6" w:space="0"/>
              <w:bottom w:val="single" w:color="auto" w:sz="6"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NR_TDD_FR1_C</w:t>
            </w:r>
          </w:p>
        </w:tc>
        <w:tc>
          <w:tcPr>
            <w:tcW w:w="1027" w:type="dxa"/>
            <w:tcBorders>
              <w:top w:val="single" w:color="auto" w:sz="6" w:space="0"/>
              <w:left w:val="single" w:color="auto" w:sz="4" w:space="0"/>
              <w:bottom w:val="single" w:color="auto" w:sz="6" w:space="0"/>
              <w:right w:val="single" w:color="auto" w:sz="6"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-120</w:t>
            </w:r>
          </w:p>
        </w:tc>
        <w:tc>
          <w:tcPr>
            <w:tcW w:w="1027" w:type="dxa"/>
            <w:tcBorders>
              <w:top w:val="single" w:color="auto" w:sz="6" w:space="0"/>
              <w:left w:val="single" w:color="auto" w:sz="4" w:space="0"/>
              <w:bottom w:val="single" w:color="auto" w:sz="6" w:space="0"/>
              <w:right w:val="single" w:color="auto" w:sz="6"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sv-SE" w:eastAsia="en-GB" w:bidi="ar-SA"/>
              </w:rPr>
            </w:pPr>
            <w:r>
              <w:rPr>
                <w:rFonts w:ascii="Arial" w:hAnsi="Arial" w:eastAsia="Times New Roman" w:cs="Times New Roman"/>
                <w:sz w:val="18"/>
                <w:lang w:val="en-GB" w:eastAsia="en-GB" w:bidi="ar-SA"/>
              </w:rPr>
              <w:t>-117</w:t>
            </w:r>
          </w:p>
        </w:tc>
        <w:tc>
          <w:tcPr>
            <w:tcW w:w="1440" w:type="dxa"/>
            <w:tcBorders>
              <w:top w:val="single" w:color="auto" w:sz="6" w:space="0"/>
              <w:left w:val="single" w:color="auto" w:sz="6" w:space="0"/>
              <w:bottom w:val="single" w:color="auto" w:sz="6" w:space="0"/>
              <w:right w:val="single" w:color="auto" w:sz="6"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440" w:type="dxa"/>
            <w:tcBorders>
              <w:top w:val="single" w:color="auto" w:sz="6" w:space="0"/>
              <w:left w:val="single" w:color="auto" w:sz="6" w:space="0"/>
              <w:bottom w:val="single" w:color="auto" w:sz="6"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r>
      <w:tr>
        <w:tblPrEx>
          <w:tblCellMar>
            <w:top w:w="0" w:type="dxa"/>
            <w:left w:w="108" w:type="dxa"/>
            <w:bottom w:w="0" w:type="dxa"/>
            <w:right w:w="108" w:type="dxa"/>
          </w:tblCellMar>
        </w:tblPrEx>
        <w:trPr>
          <w:jc w:val="center"/>
        </w:trPr>
        <w:tc>
          <w:tcPr>
            <w:tcW w:w="1033" w:type="dxa"/>
            <w:tcBorders>
              <w:left w:val="single" w:color="auto" w:sz="4" w:space="0"/>
              <w:right w:val="single" w:color="auto" w:sz="6"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sym w:font="Symbol" w:char="F0B1"/>
            </w:r>
            <w:r>
              <w:rPr>
                <w:rFonts w:ascii="Arial" w:hAnsi="Arial" w:eastAsia="Times New Roman" w:cs="Times New Roman"/>
                <w:sz w:val="18"/>
                <w:lang w:val="en-GB" w:eastAsia="en-GB" w:bidi="ar-SA"/>
              </w:rPr>
              <w:t>2</w:t>
            </w:r>
          </w:p>
        </w:tc>
        <w:tc>
          <w:tcPr>
            <w:tcW w:w="1049" w:type="dxa"/>
            <w:tcBorders>
              <w:left w:val="single" w:color="auto" w:sz="6" w:space="0"/>
              <w:right w:val="single" w:color="auto" w:sz="6"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sym w:font="Symbol" w:char="F0B1"/>
            </w:r>
            <w:r>
              <w:rPr>
                <w:rFonts w:ascii="Arial" w:hAnsi="Arial" w:eastAsia="Times New Roman" w:cs="Times New Roman"/>
                <w:sz w:val="18"/>
                <w:lang w:val="en-GB" w:eastAsia="en-GB" w:bidi="ar-SA"/>
              </w:rPr>
              <w:t>3</w:t>
            </w:r>
          </w:p>
        </w:tc>
        <w:tc>
          <w:tcPr>
            <w:tcW w:w="807" w:type="dxa"/>
            <w:tcBorders>
              <w:left w:val="single" w:color="auto" w:sz="6" w:space="0"/>
              <w:right w:val="single" w:color="auto" w:sz="6"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sym w:font="Symbol" w:char="F0B3"/>
            </w:r>
            <w:r>
              <w:rPr>
                <w:rFonts w:ascii="Arial" w:hAnsi="Arial" w:eastAsia="Times New Roman" w:cs="Times New Roman"/>
                <w:sz w:val="18"/>
                <w:lang w:val="en-GB" w:eastAsia="en-GB" w:bidi="ar-SA"/>
              </w:rPr>
              <w:t>-3</w:t>
            </w:r>
          </w:p>
        </w:tc>
        <w:tc>
          <w:tcPr>
            <w:tcW w:w="2349" w:type="dxa"/>
            <w:tcBorders>
              <w:top w:val="single" w:color="auto" w:sz="6" w:space="0"/>
              <w:left w:val="single" w:color="auto" w:sz="6" w:space="0"/>
              <w:bottom w:val="single" w:color="auto" w:sz="6"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sv-SE" w:eastAsia="en-GB" w:bidi="ar-SA"/>
              </w:rPr>
            </w:pPr>
            <w:r>
              <w:rPr>
                <w:rFonts w:ascii="Arial" w:hAnsi="Arial" w:eastAsia="Times New Roman" w:cs="Times New Roman"/>
                <w:sz w:val="18"/>
                <w:lang w:val="sv-SE" w:eastAsia="en-GB" w:bidi="ar-SA"/>
              </w:rPr>
              <w:t>NR_FDD_FR1_D, NR_TDD_FR1_D</w:t>
            </w:r>
          </w:p>
        </w:tc>
        <w:tc>
          <w:tcPr>
            <w:tcW w:w="1027" w:type="dxa"/>
            <w:tcBorders>
              <w:top w:val="single" w:color="auto" w:sz="6" w:space="0"/>
              <w:left w:val="single" w:color="auto" w:sz="4" w:space="0"/>
              <w:bottom w:val="single" w:color="auto" w:sz="6" w:space="0"/>
              <w:right w:val="single" w:color="auto" w:sz="6"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-119.5</w:t>
            </w:r>
          </w:p>
        </w:tc>
        <w:tc>
          <w:tcPr>
            <w:tcW w:w="1027" w:type="dxa"/>
            <w:tcBorders>
              <w:top w:val="single" w:color="auto" w:sz="6" w:space="0"/>
              <w:left w:val="single" w:color="auto" w:sz="4" w:space="0"/>
              <w:bottom w:val="single" w:color="auto" w:sz="6" w:space="0"/>
              <w:right w:val="single" w:color="auto" w:sz="6"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-116.5</w:t>
            </w:r>
          </w:p>
        </w:tc>
        <w:tc>
          <w:tcPr>
            <w:tcW w:w="1440" w:type="dxa"/>
            <w:tcBorders>
              <w:top w:val="single" w:color="auto" w:sz="6" w:space="0"/>
              <w:left w:val="single" w:color="auto" w:sz="6" w:space="0"/>
              <w:bottom w:val="single" w:color="auto" w:sz="6" w:space="0"/>
              <w:right w:val="single" w:color="auto" w:sz="6"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440" w:type="dxa"/>
            <w:tcBorders>
              <w:top w:val="single" w:color="auto" w:sz="6" w:space="0"/>
              <w:left w:val="single" w:color="auto" w:sz="6" w:space="0"/>
              <w:bottom w:val="single" w:color="auto" w:sz="6"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r>
      <w:tr>
        <w:tblPrEx>
          <w:tblCellMar>
            <w:top w:w="0" w:type="dxa"/>
            <w:left w:w="108" w:type="dxa"/>
            <w:bottom w:w="0" w:type="dxa"/>
            <w:right w:w="108" w:type="dxa"/>
          </w:tblCellMar>
        </w:tblPrEx>
        <w:trPr>
          <w:jc w:val="center"/>
        </w:trPr>
        <w:tc>
          <w:tcPr>
            <w:tcW w:w="1033" w:type="dxa"/>
            <w:tcBorders>
              <w:left w:val="single" w:color="auto" w:sz="4" w:space="0"/>
              <w:right w:val="single" w:color="auto" w:sz="6"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49" w:type="dxa"/>
            <w:tcBorders>
              <w:left w:val="single" w:color="auto" w:sz="6" w:space="0"/>
              <w:right w:val="single" w:color="auto" w:sz="6"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807" w:type="dxa"/>
            <w:tcBorders>
              <w:left w:val="single" w:color="auto" w:sz="6" w:space="0"/>
              <w:right w:val="single" w:color="auto" w:sz="6"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349" w:type="dxa"/>
            <w:tcBorders>
              <w:top w:val="single" w:color="auto" w:sz="6" w:space="0"/>
              <w:left w:val="single" w:color="auto" w:sz="6" w:space="0"/>
              <w:bottom w:val="single" w:color="auto" w:sz="6"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sv-SE" w:eastAsia="en-GB" w:bidi="ar-SA"/>
              </w:rPr>
            </w:pPr>
            <w:r>
              <w:rPr>
                <w:rFonts w:ascii="Arial" w:hAnsi="Arial" w:eastAsia="Times New Roman" w:cs="Times New Roman"/>
                <w:sz w:val="18"/>
                <w:lang w:val="sv-SE" w:eastAsia="en-GB" w:bidi="ar-SA"/>
              </w:rPr>
              <w:t>NR_FDD_FR1_E, NR_TDD_FR1_E</w:t>
            </w:r>
          </w:p>
        </w:tc>
        <w:tc>
          <w:tcPr>
            <w:tcW w:w="1027" w:type="dxa"/>
            <w:tcBorders>
              <w:top w:val="single" w:color="auto" w:sz="6" w:space="0"/>
              <w:left w:val="single" w:color="auto" w:sz="4" w:space="0"/>
              <w:bottom w:val="single" w:color="auto" w:sz="6" w:space="0"/>
              <w:right w:val="single" w:color="auto" w:sz="6"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-119</w:t>
            </w:r>
          </w:p>
        </w:tc>
        <w:tc>
          <w:tcPr>
            <w:tcW w:w="1027" w:type="dxa"/>
            <w:tcBorders>
              <w:top w:val="single" w:color="auto" w:sz="6" w:space="0"/>
              <w:left w:val="single" w:color="auto" w:sz="4" w:space="0"/>
              <w:bottom w:val="single" w:color="auto" w:sz="6" w:space="0"/>
              <w:right w:val="single" w:color="auto" w:sz="6"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sv-SE" w:eastAsia="en-GB" w:bidi="ar-SA"/>
              </w:rPr>
            </w:pPr>
            <w:r>
              <w:rPr>
                <w:rFonts w:ascii="Arial" w:hAnsi="Arial" w:eastAsia="Times New Roman" w:cs="Times New Roman"/>
                <w:sz w:val="18"/>
                <w:lang w:val="en-GB" w:eastAsia="en-GB" w:bidi="ar-SA"/>
              </w:rPr>
              <w:t>-116</w:t>
            </w:r>
          </w:p>
        </w:tc>
        <w:tc>
          <w:tcPr>
            <w:tcW w:w="1440" w:type="dxa"/>
            <w:tcBorders>
              <w:top w:val="single" w:color="auto" w:sz="6" w:space="0"/>
              <w:left w:val="single" w:color="auto" w:sz="6" w:space="0"/>
              <w:bottom w:val="single" w:color="auto" w:sz="6" w:space="0"/>
              <w:right w:val="single" w:color="auto" w:sz="6"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440" w:type="dxa"/>
            <w:tcBorders>
              <w:top w:val="single" w:color="auto" w:sz="6" w:space="0"/>
              <w:left w:val="single" w:color="auto" w:sz="6" w:space="0"/>
              <w:bottom w:val="single" w:color="auto" w:sz="6"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r>
      <w:tr>
        <w:tblPrEx>
          <w:tblCellMar>
            <w:top w:w="0" w:type="dxa"/>
            <w:left w:w="108" w:type="dxa"/>
            <w:bottom w:w="0" w:type="dxa"/>
            <w:right w:w="108" w:type="dxa"/>
          </w:tblCellMar>
        </w:tblPrEx>
        <w:trPr>
          <w:jc w:val="center"/>
        </w:trPr>
        <w:tc>
          <w:tcPr>
            <w:tcW w:w="1033" w:type="dxa"/>
            <w:tcBorders>
              <w:left w:val="single" w:color="auto" w:sz="4" w:space="0"/>
              <w:right w:val="single" w:color="auto" w:sz="6"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49" w:type="dxa"/>
            <w:tcBorders>
              <w:left w:val="single" w:color="auto" w:sz="6" w:space="0"/>
              <w:right w:val="single" w:color="auto" w:sz="6"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807" w:type="dxa"/>
            <w:tcBorders>
              <w:left w:val="single" w:color="auto" w:sz="6" w:space="0"/>
              <w:right w:val="single" w:color="auto" w:sz="6"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349" w:type="dxa"/>
            <w:tcBorders>
              <w:top w:val="single" w:color="auto" w:sz="6" w:space="0"/>
              <w:left w:val="single" w:color="auto" w:sz="6" w:space="0"/>
              <w:bottom w:val="single" w:color="auto" w:sz="6"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sv-SE" w:eastAsia="en-GB" w:bidi="ar-SA"/>
              </w:rPr>
            </w:pPr>
            <w:r>
              <w:rPr>
                <w:rFonts w:ascii="Arial" w:hAnsi="Arial" w:eastAsia="Times New Roman" w:cs="Times New Roman"/>
                <w:sz w:val="18"/>
                <w:lang w:val="en-GB" w:eastAsia="zh-CN" w:bidi="ar-SA"/>
              </w:rPr>
              <w:t>NR_FDD_FR1_F</w:t>
            </w:r>
          </w:p>
        </w:tc>
        <w:tc>
          <w:tcPr>
            <w:tcW w:w="1027" w:type="dxa"/>
            <w:tcBorders>
              <w:top w:val="single" w:color="auto" w:sz="6" w:space="0"/>
              <w:left w:val="single" w:color="auto" w:sz="4" w:space="0"/>
              <w:bottom w:val="single" w:color="auto" w:sz="6" w:space="0"/>
              <w:right w:val="single" w:color="auto" w:sz="6"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-118.5</w:t>
            </w:r>
          </w:p>
        </w:tc>
        <w:tc>
          <w:tcPr>
            <w:tcW w:w="1027" w:type="dxa"/>
            <w:tcBorders>
              <w:top w:val="single" w:color="auto" w:sz="6" w:space="0"/>
              <w:left w:val="single" w:color="auto" w:sz="4" w:space="0"/>
              <w:bottom w:val="single" w:color="auto" w:sz="6" w:space="0"/>
              <w:right w:val="single" w:color="auto" w:sz="6"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-115.5</w:t>
            </w:r>
          </w:p>
        </w:tc>
        <w:tc>
          <w:tcPr>
            <w:tcW w:w="1440" w:type="dxa"/>
            <w:tcBorders>
              <w:top w:val="single" w:color="auto" w:sz="6" w:space="0"/>
              <w:left w:val="single" w:color="auto" w:sz="6" w:space="0"/>
              <w:bottom w:val="single" w:color="auto" w:sz="6" w:space="0"/>
              <w:right w:val="single" w:color="auto" w:sz="6"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440" w:type="dxa"/>
            <w:tcBorders>
              <w:top w:val="single" w:color="auto" w:sz="6" w:space="0"/>
              <w:left w:val="single" w:color="auto" w:sz="6" w:space="0"/>
              <w:bottom w:val="single" w:color="auto" w:sz="6"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r>
      <w:tr>
        <w:tblPrEx>
          <w:tblCellMar>
            <w:top w:w="0" w:type="dxa"/>
            <w:left w:w="108" w:type="dxa"/>
            <w:bottom w:w="0" w:type="dxa"/>
            <w:right w:w="108" w:type="dxa"/>
          </w:tblCellMar>
        </w:tblPrEx>
        <w:trPr>
          <w:jc w:val="center"/>
        </w:trPr>
        <w:tc>
          <w:tcPr>
            <w:tcW w:w="1033" w:type="dxa"/>
            <w:tcBorders>
              <w:left w:val="single" w:color="auto" w:sz="4" w:space="0"/>
              <w:right w:val="single" w:color="auto" w:sz="6"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49" w:type="dxa"/>
            <w:tcBorders>
              <w:left w:val="single" w:color="auto" w:sz="6" w:space="0"/>
              <w:right w:val="single" w:color="auto" w:sz="6"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807" w:type="dxa"/>
            <w:tcBorders>
              <w:left w:val="single" w:color="auto" w:sz="6" w:space="0"/>
              <w:right w:val="single" w:color="auto" w:sz="6"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349" w:type="dxa"/>
            <w:tcBorders>
              <w:top w:val="single" w:color="auto" w:sz="6" w:space="0"/>
              <w:left w:val="single" w:color="auto" w:sz="6" w:space="0"/>
              <w:bottom w:val="single" w:color="auto" w:sz="6"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NR</w:t>
            </w:r>
            <w:r>
              <w:rPr>
                <w:rFonts w:ascii="Arial" w:hAnsi="Arial" w:eastAsia="Times New Roman" w:cs="Times New Roman"/>
                <w:sz w:val="18"/>
                <w:lang w:val="en-GB" w:eastAsia="en-GB" w:bidi="ar-SA"/>
              </w:rPr>
              <w:t>_</w:t>
            </w:r>
            <w:r>
              <w:rPr>
                <w:rFonts w:ascii="Arial" w:hAnsi="Arial" w:eastAsia="Times New Roman" w:cs="Times New Roman"/>
                <w:sz w:val="18"/>
                <w:lang w:val="en-GB" w:eastAsia="zh-CN" w:bidi="ar-SA"/>
              </w:rPr>
              <w:t>FDD_FR1_G</w:t>
            </w:r>
          </w:p>
        </w:tc>
        <w:tc>
          <w:tcPr>
            <w:tcW w:w="1027" w:type="dxa"/>
            <w:tcBorders>
              <w:top w:val="single" w:color="auto" w:sz="6" w:space="0"/>
              <w:left w:val="single" w:color="auto" w:sz="4" w:space="0"/>
              <w:bottom w:val="single" w:color="auto" w:sz="6" w:space="0"/>
              <w:right w:val="single" w:color="auto" w:sz="6"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-118</w:t>
            </w:r>
          </w:p>
        </w:tc>
        <w:tc>
          <w:tcPr>
            <w:tcW w:w="1027" w:type="dxa"/>
            <w:tcBorders>
              <w:top w:val="single" w:color="auto" w:sz="6" w:space="0"/>
              <w:left w:val="single" w:color="auto" w:sz="4" w:space="0"/>
              <w:bottom w:val="single" w:color="auto" w:sz="6" w:space="0"/>
              <w:right w:val="single" w:color="auto" w:sz="6"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sv-SE" w:eastAsia="en-GB" w:bidi="ar-SA"/>
              </w:rPr>
            </w:pPr>
            <w:r>
              <w:rPr>
                <w:rFonts w:ascii="Arial" w:hAnsi="Arial" w:eastAsia="Times New Roman" w:cs="Arial"/>
                <w:sz w:val="18"/>
                <w:lang w:val="en-GB" w:eastAsia="en-GB" w:bidi="ar-SA"/>
              </w:rPr>
              <w:t>-115</w:t>
            </w:r>
          </w:p>
        </w:tc>
        <w:tc>
          <w:tcPr>
            <w:tcW w:w="1440" w:type="dxa"/>
            <w:tcBorders>
              <w:top w:val="single" w:color="auto" w:sz="6" w:space="0"/>
              <w:left w:val="single" w:color="auto" w:sz="6" w:space="0"/>
              <w:bottom w:val="single" w:color="auto" w:sz="6" w:space="0"/>
              <w:right w:val="single" w:color="auto" w:sz="6"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440" w:type="dxa"/>
            <w:tcBorders>
              <w:top w:val="single" w:color="auto" w:sz="6" w:space="0"/>
              <w:left w:val="single" w:color="auto" w:sz="6" w:space="0"/>
              <w:bottom w:val="single" w:color="auto" w:sz="6"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r>
      <w:tr>
        <w:tblPrEx>
          <w:tblCellMar>
            <w:top w:w="0" w:type="dxa"/>
            <w:left w:w="108" w:type="dxa"/>
            <w:bottom w:w="0" w:type="dxa"/>
            <w:right w:w="108" w:type="dxa"/>
          </w:tblCellMar>
        </w:tblPrEx>
        <w:trPr>
          <w:jc w:val="center"/>
        </w:trPr>
        <w:tc>
          <w:tcPr>
            <w:tcW w:w="1033" w:type="dxa"/>
            <w:tcBorders>
              <w:left w:val="single" w:color="auto" w:sz="4" w:space="0"/>
              <w:right w:val="single" w:color="auto" w:sz="6"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049" w:type="dxa"/>
            <w:tcBorders>
              <w:left w:val="single" w:color="auto" w:sz="6" w:space="0"/>
              <w:right w:val="single" w:color="auto" w:sz="6"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807" w:type="dxa"/>
            <w:tcBorders>
              <w:left w:val="single" w:color="auto" w:sz="6" w:space="0"/>
              <w:right w:val="single" w:color="auto" w:sz="6"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349" w:type="dxa"/>
            <w:tcBorders>
              <w:top w:val="single" w:color="auto" w:sz="6" w:space="0"/>
              <w:left w:val="single" w:color="auto" w:sz="6" w:space="0"/>
              <w:bottom w:val="single" w:color="auto" w:sz="6"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NR</w:t>
            </w:r>
            <w:r>
              <w:rPr>
                <w:rFonts w:ascii="Arial" w:hAnsi="Arial" w:eastAsia="Times New Roman" w:cs="Times New Roman"/>
                <w:sz w:val="18"/>
                <w:lang w:val="en-GB" w:eastAsia="en-GB" w:bidi="ar-SA"/>
              </w:rPr>
              <w:t>_</w:t>
            </w:r>
            <w:r>
              <w:rPr>
                <w:rFonts w:ascii="Arial" w:hAnsi="Arial" w:eastAsia="Times New Roman" w:cs="Times New Roman"/>
                <w:sz w:val="18"/>
                <w:lang w:val="en-GB" w:eastAsia="zh-CN" w:bidi="ar-SA"/>
              </w:rPr>
              <w:t>FDD_FR1_H</w:t>
            </w:r>
          </w:p>
        </w:tc>
        <w:tc>
          <w:tcPr>
            <w:tcW w:w="1027" w:type="dxa"/>
            <w:tcBorders>
              <w:top w:val="single" w:color="auto" w:sz="6" w:space="0"/>
              <w:left w:val="single" w:color="auto" w:sz="4" w:space="0"/>
              <w:bottom w:val="single" w:color="auto" w:sz="6" w:space="0"/>
              <w:right w:val="single" w:color="auto" w:sz="6"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-117.5</w:t>
            </w:r>
          </w:p>
        </w:tc>
        <w:tc>
          <w:tcPr>
            <w:tcW w:w="1027" w:type="dxa"/>
            <w:tcBorders>
              <w:top w:val="single" w:color="auto" w:sz="6" w:space="0"/>
              <w:left w:val="single" w:color="auto" w:sz="4" w:space="0"/>
              <w:bottom w:val="single" w:color="auto" w:sz="6" w:space="0"/>
              <w:right w:val="single" w:color="auto" w:sz="6"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sv-SE" w:eastAsia="en-GB" w:bidi="ar-SA"/>
              </w:rPr>
            </w:pPr>
            <w:r>
              <w:rPr>
                <w:rFonts w:ascii="Arial" w:hAnsi="Arial" w:eastAsia="Times New Roman" w:cs="Arial"/>
                <w:sz w:val="18"/>
                <w:lang w:val="en-GB" w:eastAsia="en-GB" w:bidi="ar-SA"/>
              </w:rPr>
              <w:t>-114.5</w:t>
            </w:r>
          </w:p>
        </w:tc>
        <w:tc>
          <w:tcPr>
            <w:tcW w:w="1440" w:type="dxa"/>
            <w:tcBorders>
              <w:top w:val="single" w:color="auto" w:sz="6" w:space="0"/>
              <w:left w:val="single" w:color="auto" w:sz="6" w:space="0"/>
              <w:bottom w:val="single" w:color="auto" w:sz="6" w:space="0"/>
              <w:right w:val="single" w:color="auto" w:sz="6"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440" w:type="dxa"/>
            <w:tcBorders>
              <w:top w:val="single" w:color="auto" w:sz="6" w:space="0"/>
              <w:left w:val="single" w:color="auto" w:sz="6" w:space="0"/>
              <w:bottom w:val="single" w:color="auto" w:sz="6"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-50</w:t>
            </w:r>
          </w:p>
        </w:tc>
      </w:tr>
      <w:tr>
        <w:tblPrEx>
          <w:tblCellMar>
            <w:top w:w="0" w:type="dxa"/>
            <w:left w:w="108" w:type="dxa"/>
            <w:bottom w:w="0" w:type="dxa"/>
            <w:right w:w="108" w:type="dxa"/>
          </w:tblCellMar>
        </w:tblPrEx>
        <w:trPr>
          <w:jc w:val="center"/>
        </w:trPr>
        <w:tc>
          <w:tcPr>
            <w:tcW w:w="1033" w:type="dxa"/>
            <w:tcBorders>
              <w:top w:val="single" w:color="auto" w:sz="6" w:space="0"/>
              <w:left w:val="single" w:color="auto" w:sz="4" w:space="0"/>
              <w:bottom w:val="single" w:color="auto" w:sz="6" w:space="0"/>
              <w:right w:val="single" w:color="auto" w:sz="6"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sym w:font="Symbol" w:char="F0B1"/>
            </w:r>
            <w:r>
              <w:rPr>
                <w:rFonts w:ascii="Arial" w:hAnsi="Arial" w:eastAsia="Times New Roman" w:cs="Times New Roman"/>
                <w:sz w:val="18"/>
                <w:lang w:val="en-GB" w:eastAsia="en-GB" w:bidi="ar-SA"/>
              </w:rPr>
              <w:t>3</w:t>
            </w:r>
          </w:p>
        </w:tc>
        <w:tc>
          <w:tcPr>
            <w:tcW w:w="1049" w:type="dxa"/>
            <w:tcBorders>
              <w:top w:val="single" w:color="auto" w:sz="6" w:space="0"/>
              <w:left w:val="single" w:color="auto" w:sz="6" w:space="0"/>
              <w:bottom w:val="single" w:color="auto" w:sz="6" w:space="0"/>
              <w:right w:val="single" w:color="auto" w:sz="6"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sym w:font="Symbol" w:char="F0B1"/>
            </w:r>
            <w:r>
              <w:rPr>
                <w:rFonts w:ascii="Arial" w:hAnsi="Arial" w:eastAsia="Times New Roman" w:cs="Times New Roman"/>
                <w:sz w:val="18"/>
                <w:lang w:val="en-GB" w:eastAsia="en-GB" w:bidi="ar-SA"/>
              </w:rPr>
              <w:t>3</w:t>
            </w:r>
          </w:p>
        </w:tc>
        <w:tc>
          <w:tcPr>
            <w:tcW w:w="807" w:type="dxa"/>
            <w:tcBorders>
              <w:top w:val="single" w:color="auto" w:sz="6" w:space="0"/>
              <w:left w:val="single" w:color="auto" w:sz="6" w:space="0"/>
              <w:bottom w:val="single" w:color="auto" w:sz="6" w:space="0"/>
              <w:right w:val="single" w:color="auto" w:sz="6"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sym w:font="Symbol" w:char="F0B3"/>
            </w:r>
            <w:r>
              <w:rPr>
                <w:rFonts w:ascii="Arial" w:hAnsi="Arial" w:eastAsia="Times New Roman" w:cs="Times New Roman"/>
                <w:sz w:val="18"/>
                <w:lang w:val="en-GB" w:eastAsia="en-GB" w:bidi="ar-SA"/>
              </w:rPr>
              <w:t>-6</w:t>
            </w:r>
          </w:p>
        </w:tc>
        <w:tc>
          <w:tcPr>
            <w:tcW w:w="2349" w:type="dxa"/>
            <w:tcBorders>
              <w:top w:val="single" w:color="auto" w:sz="6" w:space="0"/>
              <w:left w:val="single" w:color="auto" w:sz="6" w:space="0"/>
              <w:bottom w:val="single" w:color="auto" w:sz="6"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3</w:t>
            </w:r>
          </w:p>
        </w:tc>
        <w:tc>
          <w:tcPr>
            <w:tcW w:w="1027" w:type="dxa"/>
            <w:tcBorders>
              <w:top w:val="single" w:color="auto" w:sz="6" w:space="0"/>
              <w:left w:val="single" w:color="auto" w:sz="4" w:space="0"/>
              <w:bottom w:val="single" w:color="auto" w:sz="4" w:space="0"/>
              <w:right w:val="single" w:color="auto" w:sz="6"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3</w:t>
            </w:r>
          </w:p>
        </w:tc>
        <w:tc>
          <w:tcPr>
            <w:tcW w:w="1027" w:type="dxa"/>
            <w:tcBorders>
              <w:top w:val="single" w:color="auto" w:sz="6" w:space="0"/>
              <w:left w:val="single" w:color="auto" w:sz="4" w:space="0"/>
              <w:bottom w:val="single" w:color="auto" w:sz="4" w:space="0"/>
              <w:right w:val="single" w:color="auto" w:sz="6"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3</w:t>
            </w:r>
          </w:p>
        </w:tc>
        <w:tc>
          <w:tcPr>
            <w:tcW w:w="1440" w:type="dxa"/>
            <w:tcBorders>
              <w:top w:val="single" w:color="auto" w:sz="6" w:space="0"/>
              <w:left w:val="single" w:color="auto" w:sz="6" w:space="0"/>
              <w:bottom w:val="single" w:color="auto" w:sz="4" w:space="0"/>
              <w:right w:val="single" w:color="auto" w:sz="6"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440" w:type="dxa"/>
            <w:tcBorders>
              <w:top w:val="single" w:color="auto" w:sz="6" w:space="0"/>
              <w:left w:val="single" w:color="auto" w:sz="6"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3</w:t>
            </w:r>
          </w:p>
        </w:tc>
      </w:tr>
      <w:tr>
        <w:tblPrEx>
          <w:tblCellMar>
            <w:top w:w="0" w:type="dxa"/>
            <w:left w:w="108" w:type="dxa"/>
            <w:bottom w:w="0" w:type="dxa"/>
            <w:right w:w="108" w:type="dxa"/>
          </w:tblCellMar>
        </w:tblPrEx>
        <w:trPr>
          <w:jc w:val="center"/>
        </w:trPr>
        <w:tc>
          <w:tcPr>
            <w:tcW w:w="10172" w:type="dxa"/>
            <w:gridSpan w:val="8"/>
            <w:tcBorders>
              <w:top w:val="single" w:color="auto" w:sz="6"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Io is assumed to have constant EPRE across the bandwidth.</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The parameter SSB Ês/Iot is the minimum SSB Ês/Iot of the pair of cells to which the requirement applies.</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3:</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The same bands and the same Io conditions for each band apply for this requirement as for the corresponding highest accuracy requirement.</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4:</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NR operating band groups in FR1 are as defined in clause 3.5.2.</w:t>
            </w:r>
          </w:p>
        </w:tc>
      </w:tr>
    </w:tbl>
    <w:p>
      <w:pPr>
        <w:keepNext w:val="0"/>
        <w:keepLines w:val="0"/>
        <w:pageBreakBefore w:val="0"/>
        <w:widowControl/>
        <w:kinsoku/>
        <w:wordWrap/>
        <w:overflowPunct/>
        <w:topLinePunct w:val="0"/>
        <w:autoSpaceDE/>
        <w:autoSpaceDN/>
        <w:bidi w:val="0"/>
        <w:adjustRightInd/>
        <w:snapToGrid/>
        <w:spacing w:before="273" w:beforeLines="100" w:after="120"/>
        <w:jc w:val="both"/>
        <w:textAlignment w:val="auto"/>
        <w:rPr>
          <w:rFonts w:hint="eastAsia" w:eastAsia="宋体"/>
          <w:bCs/>
          <w:iCs/>
          <w:color w:val="000000" w:themeColor="text1"/>
          <w:lang w:val="en-US" w:eastAsia="zh-CN"/>
          <w14:textFill>
            <w14:solidFill>
              <w14:schemeClr w14:val="tx1"/>
            </w14:solidFill>
          </w14:textFill>
        </w:rPr>
      </w:pPr>
      <w:r>
        <w:rPr>
          <w:rFonts w:hint="eastAsia" w:eastAsia="宋体"/>
          <w:bCs/>
          <w:iCs/>
          <w:color w:val="000000" w:themeColor="text1"/>
          <w:lang w:val="en-US" w:eastAsia="zh-CN"/>
          <w14:textFill>
            <w14:solidFill>
              <w14:schemeClr w14:val="tx1"/>
            </w14:solidFill>
          </w14:textFill>
        </w:rPr>
        <w:t>The side condition of SNR should be specified when defining the accuracy requirements. How to identify the SNR, RAN1 has some observations which are captured in the TR[3] as below.</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pacing w:after="180"/>
              <w:jc w:val="both"/>
              <w:rPr>
                <w:rFonts w:hint="default" w:eastAsia="宋体"/>
                <w:bCs/>
                <w:iCs/>
                <w:color w:val="000000" w:themeColor="text1"/>
                <w:sz w:val="20"/>
                <w:szCs w:val="20"/>
                <w:vertAlign w:val="baseline"/>
                <w:lang w:val="en-US" w:eastAsia="zh-CN"/>
                <w14:textFill>
                  <w14:solidFill>
                    <w14:schemeClr w14:val="tx1"/>
                  </w14:solidFill>
                </w14:textFill>
              </w:rPr>
            </w:pPr>
            <w:r>
              <w:rPr>
                <w:rFonts w:eastAsia="宋体"/>
                <w:sz w:val="20"/>
                <w:szCs w:val="20"/>
                <w:lang w:eastAsia="zh-CN"/>
              </w:rPr>
              <w:t>8.3.4.1A</w:t>
            </w:r>
            <w:r>
              <w:rPr>
                <w:rFonts w:eastAsia="宋体"/>
                <w:sz w:val="20"/>
                <w:szCs w:val="20"/>
                <w:lang w:eastAsia="zh-CN"/>
              </w:rPr>
              <w:tab/>
            </w:r>
            <w:r>
              <w:rPr>
                <w:rFonts w:eastAsia="宋体"/>
                <w:sz w:val="20"/>
                <w:szCs w:val="20"/>
                <w:lang w:eastAsia="zh-CN"/>
              </w:rPr>
              <w:t>Observation RSRP LP-SS, TDL-C</w:t>
            </w:r>
          </w:p>
          <w:p>
            <w:pPr>
              <w:pStyle w:val="273"/>
              <w:numPr>
                <w:ilvl w:val="0"/>
                <w:numId w:val="14"/>
              </w:numPr>
              <w:spacing w:after="0"/>
              <w:ind w:firstLineChars="0"/>
              <w:contextualSpacing/>
              <w:rPr>
                <w:sz w:val="20"/>
                <w:szCs w:val="20"/>
              </w:rPr>
            </w:pPr>
            <w:r>
              <w:rPr>
                <w:sz w:val="20"/>
                <w:szCs w:val="20"/>
              </w:rPr>
              <w:t>at SNR X=-3, to achieve 90 % accuracy of measurement +-Y&lt;=3dB, less than 10 symbols spread over 1-2 periods is sufficient. [8B-25][8B-1]</w:t>
            </w:r>
          </w:p>
          <w:p>
            <w:pPr>
              <w:spacing w:after="180"/>
              <w:jc w:val="both"/>
              <w:rPr>
                <w:rFonts w:eastAsia="宋体"/>
                <w:sz w:val="20"/>
                <w:szCs w:val="20"/>
                <w:lang w:eastAsia="zh-CN"/>
              </w:rPr>
            </w:pPr>
            <w:r>
              <w:rPr>
                <w:rFonts w:eastAsia="宋体"/>
                <w:sz w:val="20"/>
                <w:szCs w:val="20"/>
                <w:lang w:eastAsia="zh-CN"/>
              </w:rPr>
              <w:t>Results for LP-SS RSRP RRM measurement, AWGN</w:t>
            </w:r>
          </w:p>
          <w:p>
            <w:pPr>
              <w:pStyle w:val="273"/>
              <w:numPr>
                <w:ilvl w:val="0"/>
                <w:numId w:val="15"/>
              </w:numPr>
              <w:spacing w:after="0"/>
              <w:ind w:left="142" w:hanging="142" w:firstLineChars="0"/>
              <w:contextualSpacing/>
              <w:rPr>
                <w:rFonts w:hint="default" w:eastAsia="宋体"/>
                <w:sz w:val="20"/>
                <w:szCs w:val="20"/>
                <w:lang w:val="en-US" w:eastAsia="zh-CN"/>
              </w:rPr>
            </w:pPr>
            <w:r>
              <w:rPr>
                <w:sz w:val="20"/>
                <w:szCs w:val="20"/>
              </w:rPr>
              <w:t>at SNR X=-9, to achieve 90 % accuracy of measurement +-Y&lt;=3dB, &lt;=10 OFDMA symbols over 1-3 periods are sufficient.</w:t>
            </w:r>
          </w:p>
        </w:tc>
      </w:tr>
    </w:tbl>
    <w:p>
      <w:pPr>
        <w:spacing w:after="180"/>
        <w:jc w:val="both"/>
        <w:rPr>
          <w:rFonts w:hint="eastAsia" w:eastAsia="宋体"/>
          <w:bCs/>
          <w:iCs/>
          <w:color w:val="000000" w:themeColor="text1"/>
          <w:sz w:val="20"/>
          <w:szCs w:val="20"/>
          <w:lang w:val="en-US" w:eastAsia="zh-CN"/>
          <w14:textFill>
            <w14:solidFill>
              <w14:schemeClr w14:val="tx1"/>
            </w14:solidFill>
          </w14:textFill>
        </w:rPr>
      </w:pPr>
    </w:p>
    <w:p>
      <w:pPr>
        <w:spacing w:after="180"/>
        <w:jc w:val="both"/>
        <w:rPr>
          <w:rFonts w:hint="eastAsia" w:eastAsia="宋体"/>
          <w:bCs/>
          <w:iCs/>
          <w:color w:val="000000" w:themeColor="text1"/>
          <w:sz w:val="20"/>
          <w:szCs w:val="20"/>
          <w:lang w:val="en-US" w:eastAsia="zh-CN"/>
          <w14:textFill>
            <w14:solidFill>
              <w14:schemeClr w14:val="tx1"/>
            </w14:solidFill>
          </w14:textFill>
        </w:rPr>
      </w:pPr>
      <w:r>
        <w:rPr>
          <w:rFonts w:hint="eastAsia" w:eastAsia="宋体"/>
          <w:bCs/>
          <w:iCs/>
          <w:color w:val="000000" w:themeColor="text1"/>
          <w:sz w:val="20"/>
          <w:szCs w:val="20"/>
          <w:lang w:val="en-US" w:eastAsia="zh-CN"/>
          <w14:textFill>
            <w14:solidFill>
              <w14:schemeClr w14:val="tx1"/>
            </w14:solidFill>
          </w14:textFill>
        </w:rPr>
        <w:t>It can be shown that for the UEs experience different SNR level, the achievable measurement accuracy can be constant provided that enough signal duration are guaranteed. Besides, the lower of the SNR level, the more measurement samples is required. So it is feasible to define one or more SNR conditions when identifying the accuracy requirements.</w:t>
      </w:r>
    </w:p>
    <w:p>
      <w:pPr>
        <w:spacing w:after="180"/>
        <w:jc w:val="both"/>
        <w:rPr>
          <w:rFonts w:hint="eastAsia" w:eastAsia="宋体"/>
          <w:bCs/>
          <w:iCs/>
          <w:color w:val="000000" w:themeColor="text1"/>
          <w:sz w:val="20"/>
          <w:szCs w:val="20"/>
          <w:highlight w:val="none"/>
          <w:lang w:val="en-US" w:eastAsia="zh-CN"/>
          <w14:textFill>
            <w14:solidFill>
              <w14:schemeClr w14:val="tx1"/>
            </w14:solidFill>
          </w14:textFill>
        </w:rPr>
      </w:pPr>
      <w:r>
        <w:rPr>
          <w:rFonts w:hint="eastAsia" w:eastAsia="宋体"/>
          <w:bCs/>
          <w:iCs/>
          <w:color w:val="000000" w:themeColor="text1"/>
          <w:sz w:val="20"/>
          <w:szCs w:val="20"/>
          <w:highlight w:val="none"/>
          <w:lang w:val="en-US" w:eastAsia="zh-CN"/>
          <w14:textFill>
            <w14:solidFill>
              <w14:schemeClr w14:val="tx1"/>
            </w14:solidFill>
          </w14:textFill>
        </w:rPr>
        <w:t xml:space="preserve">For details, one solution is to define a unified accuracy requirements for LP-SS based measurement. Based on RAN1 observation, the accuracy of &lt;=3dB can be satisfied with acceptable resources occupation. So it seems that RAN4 can define measurement accuracy requirements with an appropriate SNR as side conditions by taking NF into consideration. </w:t>
      </w:r>
    </w:p>
    <w:p>
      <w:pPr>
        <w:spacing w:after="180"/>
        <w:jc w:val="both"/>
        <w:rPr>
          <w:rFonts w:hint="default" w:eastAsia="宋体"/>
          <w:bCs/>
          <w:iCs/>
          <w:color w:val="000000" w:themeColor="text1"/>
          <w:sz w:val="20"/>
          <w:szCs w:val="20"/>
          <w:highlight w:val="none"/>
          <w:lang w:val="en-US" w:eastAsia="zh-CN"/>
          <w14:textFill>
            <w14:solidFill>
              <w14:schemeClr w14:val="tx1"/>
            </w14:solidFill>
          </w14:textFill>
        </w:rPr>
      </w:pPr>
      <w:r>
        <w:rPr>
          <w:rFonts w:hint="eastAsia" w:eastAsia="宋体"/>
          <w:bCs/>
          <w:iCs/>
          <w:color w:val="000000" w:themeColor="text1"/>
          <w:sz w:val="20"/>
          <w:szCs w:val="20"/>
          <w:highlight w:val="none"/>
          <w:lang w:val="en-US" w:eastAsia="zh-CN"/>
          <w14:textFill>
            <w14:solidFill>
              <w14:schemeClr w14:val="tx1"/>
            </w14:solidFill>
          </w14:textFill>
        </w:rPr>
        <w:t>Regarding some other settings, such as sample number, signal design and waveform selection, which are involved in the evaluation details, would not be captured into the accuracy requirements. When considering the performance of accuracy requirements in the future, such as the test case discussion, such details can be further identified.</w:t>
      </w:r>
    </w:p>
    <w:p>
      <w:pPr>
        <w:spacing w:after="180"/>
        <w:jc w:val="both"/>
        <w:rPr>
          <w:rFonts w:hint="eastAsia" w:eastAsia="宋体"/>
          <w:bCs/>
          <w:iCs/>
          <w:color w:val="000000" w:themeColor="text1"/>
          <w:sz w:val="20"/>
          <w:szCs w:val="20"/>
          <w:lang w:val="en-US" w:eastAsia="zh-CN"/>
          <w14:textFill>
            <w14:solidFill>
              <w14:schemeClr w14:val="tx1"/>
            </w14:solidFill>
          </w14:textFill>
        </w:rPr>
      </w:pPr>
      <w:r>
        <w:rPr>
          <w:rFonts w:hint="eastAsia" w:eastAsia="宋体"/>
          <w:bCs/>
          <w:iCs/>
          <w:color w:val="000000" w:themeColor="text1"/>
          <w:sz w:val="20"/>
          <w:szCs w:val="20"/>
          <w:lang w:val="en-US" w:eastAsia="zh-CN"/>
          <w14:textFill>
            <w14:solidFill>
              <w14:schemeClr w14:val="tx1"/>
            </w14:solidFill>
          </w14:textFill>
        </w:rPr>
        <w:t xml:space="preserve">Additionally, if UEs are located in the center area of a cell, the requirement of measurement accuracy would be satisfied even the NF is taken into account, since the SNR and link performance based on LP-SS is quite good in this case. By configuring different SNR threshold value as shown in the following figure, the target coverage range and number of UEs varies. </w:t>
      </w:r>
    </w:p>
    <w:p>
      <w:pPr>
        <w:spacing w:after="180"/>
        <w:jc w:val="center"/>
        <w:rPr>
          <w:sz w:val="20"/>
          <w:szCs w:val="20"/>
        </w:rPr>
      </w:pPr>
      <w:r>
        <w:rPr>
          <w:sz w:val="20"/>
          <w:szCs w:val="20"/>
        </w:rPr>
        <w:drawing>
          <wp:inline distT="0" distB="0" distL="114300" distR="114300">
            <wp:extent cx="5552440" cy="2181225"/>
            <wp:effectExtent l="0" t="0" r="1016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5552440" cy="2181225"/>
                    </a:xfrm>
                    <a:prstGeom prst="rect">
                      <a:avLst/>
                    </a:prstGeom>
                    <a:noFill/>
                    <a:ln>
                      <a:noFill/>
                    </a:ln>
                  </pic:spPr>
                </pic:pic>
              </a:graphicData>
            </a:graphic>
          </wp:inline>
        </w:drawing>
      </w:r>
    </w:p>
    <w:p>
      <w:pPr>
        <w:spacing w:after="180"/>
        <w:jc w:val="center"/>
        <w:rPr>
          <w:rFonts w:hint="default" w:eastAsia="宋体"/>
          <w:sz w:val="20"/>
          <w:szCs w:val="20"/>
          <w:lang w:val="en-US" w:eastAsia="zh-CN"/>
        </w:rPr>
      </w:pPr>
      <w:r>
        <w:rPr>
          <w:rFonts w:hint="eastAsia" w:eastAsia="宋体"/>
          <w:sz w:val="20"/>
          <w:szCs w:val="20"/>
          <w:lang w:val="en-US" w:eastAsia="zh-CN"/>
        </w:rPr>
        <w:t>Figure 1. the centred UE satisfying the measurement requirements</w:t>
      </w:r>
    </w:p>
    <w:p>
      <w:pPr>
        <w:spacing w:after="180"/>
        <w:jc w:val="both"/>
        <w:rPr>
          <w:rFonts w:hint="default"/>
          <w:sz w:val="20"/>
          <w:szCs w:val="20"/>
          <w:lang w:val="en-US" w:eastAsia="zh-CN"/>
        </w:rPr>
      </w:pPr>
      <w:r>
        <w:rPr>
          <w:rFonts w:hint="eastAsia"/>
          <w:sz w:val="20"/>
          <w:szCs w:val="20"/>
          <w:lang w:val="en-US" w:eastAsia="zh-CN"/>
        </w:rPr>
        <w:t>As for the exact condition of SNR value, it could depend on the sample number and some other factors such as signal design, waveform selection, which could be further discussed.</w:t>
      </w:r>
    </w:p>
    <w:p>
      <w:pPr>
        <w:spacing w:after="180"/>
        <w:jc w:val="both"/>
        <w:rPr>
          <w:rFonts w:hint="eastAsia"/>
          <w:sz w:val="21"/>
          <w:szCs w:val="21"/>
          <w:highlight w:val="yellow"/>
          <w:lang w:val="en-US" w:eastAsia="zh-CN"/>
        </w:rPr>
      </w:pPr>
      <w:r>
        <w:rPr>
          <w:rFonts w:hint="eastAsia" w:eastAsia="宋体"/>
          <w:b/>
          <w:bCs w:val="0"/>
          <w:iCs/>
          <w:color w:val="000000" w:themeColor="text1"/>
          <w:sz w:val="20"/>
          <w:szCs w:val="20"/>
          <w:lang w:val="en-US" w:eastAsia="zh-CN"/>
          <w14:textFill>
            <w14:solidFill>
              <w14:schemeClr w14:val="tx1"/>
            </w14:solidFill>
          </w14:textFill>
        </w:rPr>
        <w:t>Proposal 1: RAN4 confirms that serving cell RSRP/RSRQ measurement offloading to LP-WUR for IDLE/INACTIVE mode is feasible at least for the UEs in the cell center.</w:t>
      </w:r>
    </w:p>
    <w:p>
      <w:pPr>
        <w:bidi w:val="0"/>
        <w:rPr>
          <w:rFonts w:hint="eastAsia"/>
          <w:sz w:val="20"/>
          <w:szCs w:val="20"/>
          <w:highlight w:val="none"/>
          <w:lang w:val="en-US" w:eastAsia="zh-CN"/>
        </w:rPr>
      </w:pPr>
      <w:r>
        <w:rPr>
          <w:rFonts w:hint="eastAsia"/>
          <w:sz w:val="20"/>
          <w:szCs w:val="20"/>
          <w:highlight w:val="none"/>
          <w:lang w:val="en-US" w:eastAsia="zh-CN"/>
        </w:rPr>
        <w:t xml:space="preserve">For the RRM metrics definition, e.g., RSRP, RSRQ, different WUR architectures may requires different definition. For example, for OFDM receiver, the RSRP and RSRQ may be reused. For OOK receiver, the RSRP and RSRP may be defined based on the </w:t>
      </w:r>
      <w:r>
        <w:rPr>
          <w:rFonts w:hint="default"/>
          <w:sz w:val="20"/>
          <w:szCs w:val="20"/>
          <w:highlight w:val="none"/>
          <w:lang w:val="en-US" w:eastAsia="zh-CN"/>
        </w:rPr>
        <w:t>‘</w:t>
      </w:r>
      <w:r>
        <w:rPr>
          <w:rFonts w:hint="eastAsia"/>
          <w:sz w:val="20"/>
          <w:szCs w:val="20"/>
          <w:highlight w:val="none"/>
          <w:lang w:val="en-US" w:eastAsia="zh-CN"/>
        </w:rPr>
        <w:t>0</w:t>
      </w:r>
      <w:r>
        <w:rPr>
          <w:rFonts w:hint="default"/>
          <w:sz w:val="20"/>
          <w:szCs w:val="20"/>
          <w:highlight w:val="none"/>
          <w:lang w:val="en-US" w:eastAsia="zh-CN"/>
        </w:rPr>
        <w:t>’</w:t>
      </w:r>
      <w:r>
        <w:rPr>
          <w:rFonts w:hint="eastAsia"/>
          <w:sz w:val="20"/>
          <w:szCs w:val="20"/>
          <w:highlight w:val="none"/>
          <w:lang w:val="en-US" w:eastAsia="zh-CN"/>
        </w:rPr>
        <w:t xml:space="preserve"> or </w:t>
      </w:r>
      <w:r>
        <w:rPr>
          <w:rFonts w:hint="default"/>
          <w:sz w:val="20"/>
          <w:szCs w:val="20"/>
          <w:highlight w:val="none"/>
          <w:lang w:val="en-US" w:eastAsia="zh-CN"/>
        </w:rPr>
        <w:t>‘</w:t>
      </w:r>
      <w:r>
        <w:rPr>
          <w:rFonts w:hint="eastAsia"/>
          <w:sz w:val="20"/>
          <w:szCs w:val="20"/>
          <w:highlight w:val="none"/>
          <w:lang w:val="en-US" w:eastAsia="zh-CN"/>
        </w:rPr>
        <w:t>1</w:t>
      </w:r>
      <w:r>
        <w:rPr>
          <w:rFonts w:hint="default"/>
          <w:sz w:val="20"/>
          <w:szCs w:val="20"/>
          <w:highlight w:val="none"/>
          <w:lang w:val="en-US" w:eastAsia="zh-CN"/>
        </w:rPr>
        <w:t>’</w:t>
      </w:r>
      <w:r>
        <w:rPr>
          <w:rFonts w:hint="eastAsia"/>
          <w:sz w:val="20"/>
          <w:szCs w:val="20"/>
          <w:highlight w:val="none"/>
          <w:lang w:val="en-US" w:eastAsia="zh-CN"/>
        </w:rPr>
        <w:t xml:space="preserve"> in the waveform. As for the relaxation times in time domain for serving cell offloading, it can be discussed by considering the power saving gain, impacts on gNB and UE, and so on. However, theses issues can be discussed in WI stage, and no critical issues observed should be studied further in a study phase. </w:t>
      </w:r>
    </w:p>
    <w:p>
      <w:pPr>
        <w:bidi w:val="0"/>
        <w:rPr>
          <w:rFonts w:hint="default"/>
          <w:lang w:val="en-US" w:eastAsia="zh-CN"/>
        </w:rPr>
      </w:pPr>
    </w:p>
    <w:p>
      <w:pPr>
        <w:numPr>
          <w:ilvl w:val="0"/>
          <w:numId w:val="0"/>
        </w:numPr>
        <w:spacing w:after="180"/>
        <w:jc w:val="both"/>
        <w:rPr>
          <w:rFonts w:hint="eastAsia" w:eastAsia="宋体"/>
          <w:b/>
          <w:bCs w:val="0"/>
          <w:iCs/>
          <w:color w:val="000000" w:themeColor="text1"/>
          <w:sz w:val="20"/>
          <w:szCs w:val="20"/>
          <w:lang w:val="en-US" w:eastAsia="zh-CN"/>
          <w14:textFill>
            <w14:solidFill>
              <w14:schemeClr w14:val="tx1"/>
            </w14:solidFill>
          </w14:textFill>
        </w:rPr>
      </w:pPr>
      <w:r>
        <w:rPr>
          <w:rFonts w:hint="eastAsia" w:eastAsia="宋体"/>
          <w:b/>
          <w:bCs w:val="0"/>
          <w:iCs/>
          <w:color w:val="000000" w:themeColor="text1"/>
          <w:sz w:val="20"/>
          <w:szCs w:val="20"/>
          <w:lang w:val="en-US" w:eastAsia="zh-CN"/>
          <w14:textFill>
            <w14:solidFill>
              <w14:schemeClr w14:val="tx1"/>
            </w14:solidFill>
          </w14:textFill>
        </w:rPr>
        <w:t>Proposal 2: Other issues are further discussed and to be concluded in the WI stage.</w:t>
      </w:r>
    </w:p>
    <w:p>
      <w:pPr>
        <w:pStyle w:val="2"/>
        <w:numPr>
          <w:ilvl w:val="0"/>
          <w:numId w:val="11"/>
        </w:numPr>
        <w:pBdr>
          <w:top w:val="single" w:color="auto" w:sz="12" w:space="2"/>
        </w:pBdr>
        <w:jc w:val="both"/>
        <w:rPr>
          <w:sz w:val="32"/>
        </w:rPr>
      </w:pPr>
      <w:r>
        <w:rPr>
          <w:rFonts w:hint="eastAsia"/>
          <w:sz w:val="32"/>
        </w:rPr>
        <w:t>Conclusion</w:t>
      </w:r>
    </w:p>
    <w:p>
      <w:pPr>
        <w:spacing w:after="180"/>
        <w:jc w:val="both"/>
        <w:rPr>
          <w:iCs/>
          <w:color w:val="000000" w:themeColor="text1"/>
          <w:sz w:val="20"/>
          <w:szCs w:val="20"/>
          <w14:textFill>
            <w14:solidFill>
              <w14:schemeClr w14:val="tx1"/>
            </w14:solidFill>
          </w14:textFill>
        </w:rPr>
      </w:pPr>
      <w:r>
        <w:rPr>
          <w:sz w:val="20"/>
          <w:szCs w:val="20"/>
        </w:rPr>
        <w:t xml:space="preserve">In this contribution, we provide our </w:t>
      </w:r>
      <w:r>
        <w:rPr>
          <w:rFonts w:hint="eastAsia" w:eastAsia="宋体"/>
          <w:sz w:val="20"/>
          <w:szCs w:val="20"/>
          <w:lang w:val="en-US" w:eastAsia="zh-CN"/>
        </w:rPr>
        <w:t xml:space="preserve">views </w:t>
      </w:r>
      <w:r>
        <w:rPr>
          <w:sz w:val="20"/>
          <w:szCs w:val="20"/>
        </w:rPr>
        <w:t xml:space="preserve">on the </w:t>
      </w:r>
      <w:r>
        <w:rPr>
          <w:rFonts w:hint="eastAsia" w:eastAsia="宋体"/>
          <w:sz w:val="20"/>
          <w:szCs w:val="20"/>
          <w:lang w:val="en-US" w:eastAsia="zh-CN"/>
        </w:rPr>
        <w:t xml:space="preserve">remaining issues regarding </w:t>
      </w:r>
      <w:r>
        <w:rPr>
          <w:sz w:val="20"/>
          <w:szCs w:val="20"/>
        </w:rPr>
        <w:t>RRM evaluation work in SI stage</w:t>
      </w:r>
      <w:r>
        <w:rPr>
          <w:iCs/>
          <w:color w:val="000000" w:themeColor="text1"/>
          <w:sz w:val="20"/>
          <w:szCs w:val="20"/>
          <w14:textFill>
            <w14:solidFill>
              <w14:schemeClr w14:val="tx1"/>
            </w14:solidFill>
          </w14:textFill>
        </w:rPr>
        <w:t>.</w:t>
      </w:r>
    </w:p>
    <w:p>
      <w:pPr>
        <w:spacing w:after="180"/>
        <w:jc w:val="both"/>
        <w:rPr>
          <w:rFonts w:hint="eastAsia"/>
          <w:sz w:val="21"/>
          <w:szCs w:val="21"/>
          <w:highlight w:val="yellow"/>
          <w:lang w:val="en-US" w:eastAsia="zh-CN"/>
        </w:rPr>
      </w:pPr>
      <w:r>
        <w:rPr>
          <w:rFonts w:hint="eastAsia" w:eastAsia="宋体"/>
          <w:b/>
          <w:bCs w:val="0"/>
          <w:iCs/>
          <w:color w:val="000000" w:themeColor="text1"/>
          <w:sz w:val="20"/>
          <w:szCs w:val="20"/>
          <w:lang w:val="en-US" w:eastAsia="zh-CN"/>
          <w14:textFill>
            <w14:solidFill>
              <w14:schemeClr w14:val="tx1"/>
            </w14:solidFill>
          </w14:textFill>
        </w:rPr>
        <w:t>Proposal 1: RAN4 confirms that serving cell RSRP/RSRQ measurement offloading to LP-WUR for IDLE/INACTIVE mode is feasible at least for the UEs in the cell center.</w:t>
      </w:r>
    </w:p>
    <w:p>
      <w:pPr>
        <w:numPr>
          <w:ilvl w:val="0"/>
          <w:numId w:val="0"/>
        </w:numPr>
        <w:spacing w:after="180"/>
        <w:jc w:val="both"/>
        <w:rPr>
          <w:iCs/>
          <w:color w:val="000000" w:themeColor="text1"/>
          <w14:textFill>
            <w14:solidFill>
              <w14:schemeClr w14:val="tx1"/>
            </w14:solidFill>
          </w14:textFill>
        </w:rPr>
      </w:pPr>
      <w:r>
        <w:rPr>
          <w:rFonts w:hint="eastAsia" w:eastAsia="宋体"/>
          <w:b/>
          <w:bCs w:val="0"/>
          <w:iCs/>
          <w:color w:val="000000" w:themeColor="text1"/>
          <w:sz w:val="20"/>
          <w:szCs w:val="20"/>
          <w:lang w:val="en-US" w:eastAsia="zh-CN"/>
          <w14:textFill>
            <w14:solidFill>
              <w14:schemeClr w14:val="tx1"/>
            </w14:solidFill>
          </w14:textFill>
        </w:rPr>
        <w:t>Proposal 2: Other issues are further discussed and to be concluded in the WI stage.</w:t>
      </w:r>
    </w:p>
    <w:p>
      <w:pPr>
        <w:pStyle w:val="2"/>
        <w:pBdr>
          <w:top w:val="single" w:color="auto" w:sz="12" w:space="2"/>
        </w:pBdr>
        <w:jc w:val="both"/>
        <w:rPr>
          <w:sz w:val="32"/>
        </w:rPr>
      </w:pPr>
      <w:r>
        <w:rPr>
          <w:rFonts w:hint="eastAsia"/>
          <w:sz w:val="32"/>
        </w:rPr>
        <w:t>References</w:t>
      </w:r>
    </w:p>
    <w:p>
      <w:pPr>
        <w:numPr>
          <w:ilvl w:val="0"/>
          <w:numId w:val="16"/>
        </w:numPr>
      </w:pPr>
      <w:r>
        <w:t xml:space="preserve">RP-232672, </w:t>
      </w:r>
      <w:r>
        <w:rPr>
          <w:rFonts w:hint="default" w:eastAsia="宋体"/>
          <w:lang w:val="en-US" w:eastAsia="zh-CN"/>
        </w:rPr>
        <w:t>“</w:t>
      </w:r>
      <w:r>
        <w:t>Revised SID: Study on low-power wake-up signal and receiver for NR</w:t>
      </w:r>
      <w:r>
        <w:rPr>
          <w:rFonts w:hint="default" w:eastAsia="宋体"/>
          <w:lang w:val="en-US" w:eastAsia="zh-CN"/>
        </w:rPr>
        <w:t>”</w:t>
      </w:r>
      <w:r>
        <w:t>, vivo, RAN#101</w:t>
      </w:r>
    </w:p>
    <w:p>
      <w:pPr>
        <w:numPr>
          <w:ilvl w:val="0"/>
          <w:numId w:val="16"/>
        </w:numPr>
      </w:pPr>
      <w:r>
        <w:rPr>
          <w:rFonts w:hint="eastAsia" w:eastAsia="宋体"/>
          <w:lang w:val="en-US" w:eastAsia="zh-CN"/>
        </w:rPr>
        <w:t xml:space="preserve">R4-2317426, </w:t>
      </w:r>
      <w:r>
        <w:rPr>
          <w:rFonts w:hint="default" w:eastAsia="宋体"/>
          <w:lang w:val="en-US" w:eastAsia="zh-CN"/>
        </w:rPr>
        <w:t>“WF on RRM aspects for NR LPWUS”</w:t>
      </w:r>
      <w:r>
        <w:rPr>
          <w:rFonts w:hint="eastAsia" w:eastAsia="宋体"/>
          <w:lang w:val="en-US" w:eastAsia="zh-CN"/>
        </w:rPr>
        <w:t>, vivo</w:t>
      </w:r>
    </w:p>
    <w:p>
      <w:pPr>
        <w:numPr>
          <w:ilvl w:val="0"/>
          <w:numId w:val="16"/>
        </w:numPr>
      </w:pPr>
      <w:r>
        <w:rPr>
          <w:rFonts w:hint="eastAsia" w:eastAsia="宋体"/>
          <w:lang w:val="en-US" w:eastAsia="zh-CN"/>
        </w:rPr>
        <w:t>RAN1 TR 38.869</w:t>
      </w:r>
    </w:p>
    <w:p/>
    <w:sectPr>
      <w:headerReference r:id="rId3" w:type="even"/>
      <w:footnotePr>
        <w:numRestart w:val="eachSect"/>
      </w:footnotePr>
      <w:type w:val="continuous"/>
      <w:pgSz w:w="11907" w:h="16840"/>
      <w:pgMar w:top="1418" w:right="1134" w:bottom="1134"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Osaka">
    <w:altName w:val="MS UI Gothic"/>
    <w:panose1 w:val="020B0600000000000000"/>
    <w:charset w:val="80"/>
    <w:family w:val="swiss"/>
    <w:pitch w:val="default"/>
    <w:sig w:usb0="00000000" w:usb1="00000000" w:usb2="00000010" w:usb3="00000000" w:csb0="00020093" w:csb1="00000000"/>
  </w:font>
  <w:font w:name="Batang">
    <w:panose1 w:val="02030600000101010101"/>
    <w:charset w:val="81"/>
    <w:family w:val="roman"/>
    <w:pitch w:val="default"/>
    <w:sig w:usb0="B00002AF" w:usb1="69D77CFB" w:usb2="00000030" w:usb3="00000000" w:csb0="4008009F" w:csb1="DFD70000"/>
  </w:font>
  <w:font w:name="ZapfDingbats">
    <w:altName w:val="Cambria"/>
    <w:panose1 w:val="020B0604020202020204"/>
    <w:charset w:val="02"/>
    <w:family w:val="decorative"/>
    <w:pitch w:val="default"/>
    <w:sig w:usb0="00000000" w:usb1="00000000" w:usb2="00000000" w:usb3="00000000" w:csb0="80000000" w:csb1="00000000"/>
  </w:font>
  <w:font w:name="Verdana">
    <w:panose1 w:val="020B0604030504040204"/>
    <w:charset w:val="00"/>
    <w:family w:val="swiss"/>
    <w:pitch w:val="default"/>
    <w:sig w:usb0="A10006FF" w:usb1="4000205B" w:usb2="00000010" w:usb3="00000000" w:csb0="2000019F" w:csb1="00000000"/>
  </w:font>
  <w:font w:name="CG Times (WN)">
    <w:altName w:val="Arial"/>
    <w:panose1 w:val="020B0604020202020204"/>
    <w:charset w:val="00"/>
    <w:family w:val="roman"/>
    <w:pitch w:val="default"/>
    <w:sig w:usb0="00000000" w:usb1="00000000" w:usb2="00000000" w:usb3="00000000" w:csb0="00000001" w:csb1="00000000"/>
  </w:font>
  <w:font w:name="Yu Mincho">
    <w:altName w:val="MS PMincho"/>
    <w:panose1 w:val="02020400000000000000"/>
    <w:charset w:val="80"/>
    <w:family w:val="roman"/>
    <w:pitch w:val="default"/>
    <w:sig w:usb0="00000000" w:usb1="00000000" w:usb2="00000012" w:usb3="00000000" w:csb0="0002009F" w:csb1="00000000"/>
  </w:font>
  <w:font w:name="等线">
    <w:altName w:val="Arial Unicode MS"/>
    <w:panose1 w:val="02010600030101010101"/>
    <w:charset w:val="86"/>
    <w:family w:val="auto"/>
    <w:pitch w:val="default"/>
    <w:sig w:usb0="00000000" w:usb1="00000000" w:usb2="00000016" w:usb3="00000000" w:csb0="0004000F"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0270DB"/>
    <w:multiLevelType w:val="multilevel"/>
    <w:tmpl w:val="040270D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05596159"/>
    <w:multiLevelType w:val="multilevel"/>
    <w:tmpl w:val="05596159"/>
    <w:lvl w:ilvl="0" w:tentative="0">
      <w:start w:val="1"/>
      <w:numFmt w:val="decimal"/>
      <w:pStyle w:val="280"/>
      <w:suff w:val="space"/>
      <w:lvlText w:val="表 %1:"/>
      <w:lvlJc w:val="left"/>
      <w:pPr>
        <w:ind w:left="0" w:firstLine="0"/>
      </w:pPr>
      <w:rPr>
        <w:rFonts w:hint="default" w:ascii="Times New Roman" w:hAnsi="Times New Roman"/>
        <w:b/>
        <w:sz w:val="21"/>
        <w:szCs w:val="21"/>
      </w:rPr>
    </w:lvl>
    <w:lvl w:ilvl="1" w:tentative="0">
      <w:start w:val="1"/>
      <w:numFmt w:val="decimal"/>
      <w:suff w:val="nothing"/>
      <w:lvlText w:val="%1.%2  "/>
      <w:lvlJc w:val="left"/>
      <w:pPr>
        <w:ind w:left="0" w:firstLine="0"/>
      </w:pPr>
      <w:rPr>
        <w:rFonts w:hint="default" w:ascii="Arial" w:hAnsi="Arial"/>
        <w:b w:val="0"/>
        <w:i w:val="0"/>
        <w:sz w:val="30"/>
        <w:szCs w:val="30"/>
      </w:rPr>
    </w:lvl>
    <w:lvl w:ilvl="2" w:tentative="0">
      <w:start w:val="1"/>
      <w:numFmt w:val="decimal"/>
      <w:suff w:val="nothing"/>
      <w:lvlText w:val="%1.%2.%3  "/>
      <w:lvlJc w:val="left"/>
      <w:pPr>
        <w:ind w:left="0" w:firstLine="0"/>
      </w:pPr>
      <w:rPr>
        <w:rFonts w:hint="default" w:ascii="Arial" w:hAnsi="Arial"/>
        <w:b w:val="0"/>
        <w:i w:val="0"/>
        <w:sz w:val="24"/>
        <w:szCs w:val="24"/>
      </w:rPr>
    </w:lvl>
    <w:lvl w:ilvl="3" w:tentative="0">
      <w:start w:val="1"/>
      <w:numFmt w:val="decimal"/>
      <w:suff w:val="nothing"/>
      <w:lvlText w:val="%1.%2.%3.%4  "/>
      <w:lvlJc w:val="left"/>
      <w:pPr>
        <w:ind w:left="0" w:firstLine="0"/>
      </w:pPr>
      <w:rPr>
        <w:rFonts w:hint="default" w:ascii="Arial" w:hAnsi="Arial"/>
        <w:b w:val="0"/>
        <w:i w:val="0"/>
        <w:sz w:val="21"/>
        <w:szCs w:val="21"/>
      </w:rPr>
    </w:lvl>
    <w:lvl w:ilvl="4" w:tentative="0">
      <w:start w:val="1"/>
      <w:numFmt w:val="decimal"/>
      <w:lvlText w:val="%5."/>
      <w:lvlJc w:val="left"/>
      <w:pPr>
        <w:tabs>
          <w:tab w:val="left" w:pos="1134"/>
        </w:tabs>
        <w:ind w:left="1134" w:hanging="312"/>
      </w:pPr>
      <w:rPr>
        <w:rFonts w:hint="default" w:ascii="Arial" w:hAnsi="Arial"/>
        <w:b w:val="0"/>
        <w:i w:val="0"/>
        <w:sz w:val="21"/>
        <w:szCs w:val="21"/>
      </w:rPr>
    </w:lvl>
    <w:lvl w:ilvl="5" w:tentative="0">
      <w:start w:val="1"/>
      <w:numFmt w:val="decimal"/>
      <w:lvlText w:val="%6)"/>
      <w:lvlJc w:val="left"/>
      <w:pPr>
        <w:tabs>
          <w:tab w:val="left" w:pos="1134"/>
        </w:tabs>
        <w:ind w:left="1134" w:hanging="312"/>
      </w:pPr>
      <w:rPr>
        <w:rFonts w:hint="default" w:ascii="Arial" w:hAnsi="Arial"/>
        <w:b w:val="0"/>
        <w:i w:val="0"/>
        <w:sz w:val="21"/>
        <w:szCs w:val="21"/>
      </w:rPr>
    </w:lvl>
    <w:lvl w:ilvl="6" w:tentative="0">
      <w:start w:val="1"/>
      <w:numFmt w:val="lowerLetter"/>
      <w:lvlText w:val="%7."/>
      <w:lvlJc w:val="left"/>
      <w:pPr>
        <w:tabs>
          <w:tab w:val="left" w:pos="1134"/>
        </w:tabs>
        <w:ind w:left="1134" w:hanging="312"/>
      </w:pPr>
      <w:rPr>
        <w:rFonts w:hint="default" w:ascii="Arial" w:hAnsi="Arial"/>
        <w:b w:val="0"/>
        <w:i w:val="0"/>
        <w:sz w:val="21"/>
        <w:szCs w:val="21"/>
      </w:rPr>
    </w:lvl>
    <w:lvl w:ilvl="7" w:tentative="0">
      <w:start w:val="1"/>
      <w:numFmt w:val="decimal"/>
      <w:lvlRestart w:val="0"/>
      <w:suff w:val="space"/>
      <w:lvlText w:val="图%8"/>
      <w:lvlJc w:val="center"/>
      <w:pPr>
        <w:ind w:left="0" w:firstLine="0"/>
      </w:pPr>
      <w:rPr>
        <w:rFonts w:hint="default" w:ascii="Arial" w:hAnsi="Arial" w:eastAsia="黑体"/>
        <w:b w:val="0"/>
        <w:i w:val="0"/>
        <w:sz w:val="18"/>
        <w:szCs w:val="18"/>
      </w:rPr>
    </w:lvl>
    <w:lvl w:ilvl="8" w:tentative="0">
      <w:start w:val="1"/>
      <w:numFmt w:val="decimal"/>
      <w:lvlRestart w:val="0"/>
      <w:suff w:val="space"/>
      <w:lvlText w:val="表%9"/>
      <w:lvlJc w:val="center"/>
      <w:pPr>
        <w:ind w:left="0" w:firstLine="0"/>
      </w:pPr>
      <w:rPr>
        <w:rFonts w:hint="default" w:ascii="Arial" w:hAnsi="Arial" w:eastAsia="黑体"/>
        <w:b w:val="0"/>
        <w:i w:val="0"/>
        <w:sz w:val="18"/>
        <w:szCs w:val="18"/>
      </w:rPr>
    </w:lvl>
  </w:abstractNum>
  <w:abstractNum w:abstractNumId="2">
    <w:nsid w:val="0C04B1D5"/>
    <w:multiLevelType w:val="singleLevel"/>
    <w:tmpl w:val="0C04B1D5"/>
    <w:lvl w:ilvl="0" w:tentative="0">
      <w:start w:val="1"/>
      <w:numFmt w:val="decimal"/>
      <w:suff w:val="space"/>
      <w:lvlText w:val="[%1]"/>
      <w:lvlJc w:val="left"/>
    </w:lvl>
  </w:abstractNum>
  <w:abstractNum w:abstractNumId="3">
    <w:nsid w:val="0D1B04F9"/>
    <w:multiLevelType w:val="multilevel"/>
    <w:tmpl w:val="0D1B04F9"/>
    <w:lvl w:ilvl="0" w:tentative="0">
      <w:start w:val="1"/>
      <w:numFmt w:val="bullet"/>
      <w:lvlText w:val=""/>
      <w:lvlJc w:val="left"/>
      <w:pPr>
        <w:ind w:left="41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11CB4A15"/>
    <w:multiLevelType w:val="multilevel"/>
    <w:tmpl w:val="11CB4A15"/>
    <w:lvl w:ilvl="0" w:tentative="0">
      <w:start w:val="1"/>
      <w:numFmt w:val="decimal"/>
      <w:lvlText w:val="%1."/>
      <w:lvlJc w:val="left"/>
      <w:pPr>
        <w:ind w:left="425" w:hanging="425"/>
      </w:pPr>
      <w:rPr>
        <w:rFonts w:hint="default"/>
        <w:lang w:val="en-US"/>
      </w:rPr>
    </w:lvl>
    <w:lvl w:ilvl="1" w:tentative="0">
      <w:start w:val="1"/>
      <w:numFmt w:val="decimal"/>
      <w:lvlText w:val="%1.%2"/>
      <w:lvlJc w:val="left"/>
      <w:pPr>
        <w:ind w:left="992" w:hanging="567"/>
      </w:pPr>
      <w:rPr>
        <w:rFonts w:hint="default"/>
      </w:r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6">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1913D55"/>
    <w:multiLevelType w:val="multilevel"/>
    <w:tmpl w:val="31913D55"/>
    <w:lvl w:ilvl="0" w:tentative="0">
      <w:start w:val="1"/>
      <w:numFmt w:val="decimal"/>
      <w:pStyle w:val="179"/>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3017104"/>
    <w:multiLevelType w:val="multilevel"/>
    <w:tmpl w:val="33017104"/>
    <w:lvl w:ilvl="0" w:tentative="0">
      <w:start w:val="1"/>
      <w:numFmt w:val="bullet"/>
      <w:lvlText w:val=""/>
      <w:lvlJc w:val="left"/>
      <w:pPr>
        <w:ind w:left="420" w:hanging="420"/>
      </w:pPr>
      <w:rPr>
        <w:rFonts w:hint="default" w:ascii="Wingdings" w:hAnsi="Wingdings"/>
      </w:rPr>
    </w:lvl>
    <w:lvl w:ilvl="1" w:tentative="0">
      <w:start w:val="0"/>
      <w:numFmt w:val="bullet"/>
      <w:lvlText w:val="◦"/>
      <w:lvlJc w:val="left"/>
      <w:pPr>
        <w:ind w:left="840" w:hanging="420"/>
      </w:pPr>
      <w:rPr>
        <w:rFonts w:hint="default" w:ascii="Calibri" w:hAnsi="Calibri"/>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51987CA8"/>
    <w:multiLevelType w:val="multilevel"/>
    <w:tmpl w:val="51987CA8"/>
    <w:lvl w:ilvl="0" w:tentative="0">
      <w:start w:val="1"/>
      <w:numFmt w:val="bullet"/>
      <w:lvlText w:val=""/>
      <w:lvlJc w:val="left"/>
      <w:pPr>
        <w:ind w:left="2024" w:hanging="360"/>
      </w:pPr>
      <w:rPr>
        <w:rFonts w:hint="default" w:ascii="Symbol" w:hAnsi="Symbol"/>
      </w:rPr>
    </w:lvl>
    <w:lvl w:ilvl="1" w:tentative="0">
      <w:start w:val="1"/>
      <w:numFmt w:val="bullet"/>
      <w:lvlText w:val="o"/>
      <w:lvlJc w:val="left"/>
      <w:pPr>
        <w:ind w:left="2744" w:hanging="360"/>
      </w:pPr>
      <w:rPr>
        <w:rFonts w:hint="default" w:ascii="Courier New" w:hAnsi="Courier New" w:cs="Courier New"/>
      </w:rPr>
    </w:lvl>
    <w:lvl w:ilvl="2" w:tentative="0">
      <w:start w:val="1"/>
      <w:numFmt w:val="bullet"/>
      <w:lvlText w:val=""/>
      <w:lvlJc w:val="left"/>
      <w:pPr>
        <w:ind w:left="3464" w:hanging="360"/>
      </w:pPr>
      <w:rPr>
        <w:rFonts w:hint="default" w:ascii="Wingdings" w:hAnsi="Wingdings"/>
      </w:rPr>
    </w:lvl>
    <w:lvl w:ilvl="3" w:tentative="0">
      <w:start w:val="1"/>
      <w:numFmt w:val="bullet"/>
      <w:lvlText w:val=""/>
      <w:lvlJc w:val="left"/>
      <w:pPr>
        <w:ind w:left="4184" w:hanging="360"/>
      </w:pPr>
      <w:rPr>
        <w:rFonts w:hint="default" w:ascii="Symbol" w:hAnsi="Symbol"/>
      </w:rPr>
    </w:lvl>
    <w:lvl w:ilvl="4" w:tentative="0">
      <w:start w:val="1"/>
      <w:numFmt w:val="bullet"/>
      <w:lvlText w:val="o"/>
      <w:lvlJc w:val="left"/>
      <w:pPr>
        <w:ind w:left="4904" w:hanging="360"/>
      </w:pPr>
      <w:rPr>
        <w:rFonts w:hint="default" w:ascii="Courier New" w:hAnsi="Courier New" w:cs="Courier New"/>
      </w:rPr>
    </w:lvl>
    <w:lvl w:ilvl="5" w:tentative="0">
      <w:start w:val="1"/>
      <w:numFmt w:val="bullet"/>
      <w:lvlText w:val=""/>
      <w:lvlJc w:val="left"/>
      <w:pPr>
        <w:ind w:left="5624" w:hanging="360"/>
      </w:pPr>
      <w:rPr>
        <w:rFonts w:hint="default" w:ascii="Wingdings" w:hAnsi="Wingdings"/>
      </w:rPr>
    </w:lvl>
    <w:lvl w:ilvl="6" w:tentative="0">
      <w:start w:val="1"/>
      <w:numFmt w:val="bullet"/>
      <w:lvlText w:val=""/>
      <w:lvlJc w:val="left"/>
      <w:pPr>
        <w:ind w:left="6344" w:hanging="360"/>
      </w:pPr>
      <w:rPr>
        <w:rFonts w:hint="default" w:ascii="Symbol" w:hAnsi="Symbol"/>
      </w:rPr>
    </w:lvl>
    <w:lvl w:ilvl="7" w:tentative="0">
      <w:start w:val="1"/>
      <w:numFmt w:val="bullet"/>
      <w:lvlText w:val="o"/>
      <w:lvlJc w:val="left"/>
      <w:pPr>
        <w:ind w:left="7064" w:hanging="360"/>
      </w:pPr>
      <w:rPr>
        <w:rFonts w:hint="default" w:ascii="Courier New" w:hAnsi="Courier New" w:cs="Courier New"/>
      </w:rPr>
    </w:lvl>
    <w:lvl w:ilvl="8" w:tentative="0">
      <w:start w:val="1"/>
      <w:numFmt w:val="bullet"/>
      <w:lvlText w:val=""/>
      <w:lvlJc w:val="left"/>
      <w:pPr>
        <w:ind w:left="7784" w:hanging="360"/>
      </w:pPr>
      <w:rPr>
        <w:rFonts w:hint="default" w:ascii="Wingdings" w:hAnsi="Wingdings"/>
      </w:rPr>
    </w:lvl>
  </w:abstractNum>
  <w:abstractNum w:abstractNumId="10">
    <w:nsid w:val="51E16AE6"/>
    <w:multiLevelType w:val="multilevel"/>
    <w:tmpl w:val="51E16AE6"/>
    <w:lvl w:ilvl="0" w:tentative="0">
      <w:start w:val="1"/>
      <w:numFmt w:val="bullet"/>
      <w:pStyle w:val="189"/>
      <w:lvlText w:val=""/>
      <w:lvlJc w:val="left"/>
      <w:pPr>
        <w:tabs>
          <w:tab w:val="left" w:pos="928"/>
        </w:tabs>
        <w:ind w:left="92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576C0327"/>
    <w:multiLevelType w:val="multilevel"/>
    <w:tmpl w:val="576C0327"/>
    <w:lvl w:ilvl="0" w:tentative="0">
      <w:start w:val="1"/>
      <w:numFmt w:val="decimal"/>
      <w:pStyle w:val="159"/>
      <w:lvlText w:val="Figure %1."/>
      <w:lvlJc w:val="left"/>
      <w:pPr>
        <w:tabs>
          <w:tab w:val="left" w:pos="144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6CEA2025"/>
    <w:multiLevelType w:val="multilevel"/>
    <w:tmpl w:val="6CEA2025"/>
    <w:lvl w:ilvl="0" w:tentative="0">
      <w:start w:val="1"/>
      <w:numFmt w:val="decimal"/>
      <w:pStyle w:val="175"/>
      <w:lvlText w:val="%1."/>
      <w:lvlJc w:val="left"/>
      <w:pPr>
        <w:tabs>
          <w:tab w:val="left" w:pos="0"/>
        </w:tabs>
        <w:ind w:left="0" w:firstLine="0"/>
      </w:pPr>
      <w:rPr>
        <w:rFonts w:hint="default" w:ascii="Times New Roman" w:hAnsi="Times New Roman" w:cs="Times New Roman"/>
        <w:b/>
        <w:i w:val="0"/>
        <w:caps w:val="0"/>
        <w:strike w:val="0"/>
        <w:dstrike w:val="0"/>
        <w:color w:val="000000"/>
        <w:sz w:val="28"/>
        <w:u w:val="none"/>
        <w14:shadow w14:blurRad="0" w14:dist="0" w14:dir="0" w14:sx="0" w14:sy="0" w14:kx="0" w14:ky="0" w14:algn="none">
          <w14:srgbClr w14:val="000000"/>
        </w14:shadow>
      </w:rPr>
    </w:lvl>
    <w:lvl w:ilvl="1" w:tentative="0">
      <w:start w:val="1"/>
      <w:numFmt w:val="decimal"/>
      <w:lvlText w:val="%1.%2"/>
      <w:lvlJc w:val="left"/>
      <w:pPr>
        <w:tabs>
          <w:tab w:val="left" w:pos="0"/>
        </w:tabs>
        <w:ind w:left="0" w:firstLine="0"/>
      </w:pPr>
      <w:rPr>
        <w:rFonts w:hint="default" w:ascii="Times New Roman" w:hAnsi="Times New Roman" w:cs="Times New Roman"/>
        <w:b/>
        <w:i w:val="0"/>
        <w:sz w:val="24"/>
        <w:szCs w:val="24"/>
      </w:rPr>
    </w:lvl>
    <w:lvl w:ilvl="2" w:tentative="0">
      <w:start w:val="1"/>
      <w:numFmt w:val="decimal"/>
      <w:lvlText w:val="%1.%2.%3"/>
      <w:lvlJc w:val="left"/>
      <w:pPr>
        <w:tabs>
          <w:tab w:val="left" w:pos="0"/>
        </w:tabs>
        <w:ind w:left="0" w:firstLine="0"/>
      </w:pPr>
      <w:rPr>
        <w:b w:val="0"/>
        <w:i w:val="0"/>
        <w:sz w:val="21"/>
        <w:szCs w:val="21"/>
      </w:rPr>
    </w:lvl>
    <w:lvl w:ilvl="3" w:tentative="0">
      <w:start w:val="1"/>
      <w:numFmt w:val="decimal"/>
      <w:lvlText w:val="%1.%2.%3.%4"/>
      <w:lvlJc w:val="left"/>
      <w:pPr>
        <w:tabs>
          <w:tab w:val="left" w:pos="0"/>
        </w:tabs>
        <w:ind w:left="0" w:firstLine="0"/>
      </w:pPr>
      <w:rPr>
        <w:rFonts w:hint="default" w:ascii="Times New Roman" w:hAnsi="Times New Roman" w:cs="Times New Roman"/>
        <w:b w:val="0"/>
        <w:i w:val="0"/>
        <w:sz w:val="24"/>
        <w:szCs w:val="24"/>
      </w:rPr>
    </w:lvl>
    <w:lvl w:ilvl="4" w:tentative="0">
      <w:start w:val="1"/>
      <w:numFmt w:val="decimal"/>
      <w:lvlText w:val="%1.%2.%3.%4.%5"/>
      <w:lvlJc w:val="left"/>
      <w:pPr>
        <w:tabs>
          <w:tab w:val="left" w:pos="0"/>
        </w:tabs>
        <w:ind w:left="0" w:firstLine="0"/>
      </w:pPr>
      <w:rPr>
        <w:b w:val="0"/>
        <w:i w:val="0"/>
        <w:sz w:val="24"/>
        <w:szCs w:val="24"/>
      </w:rPr>
    </w:lvl>
    <w:lvl w:ilvl="5" w:tentative="0">
      <w:start w:val="1"/>
      <w:numFmt w:val="decimal"/>
      <w:lvlText w:val="%1.%2.%3.%4.%5.%6"/>
      <w:lvlJc w:val="left"/>
      <w:pPr>
        <w:tabs>
          <w:tab w:val="left" w:pos="0"/>
        </w:tabs>
        <w:ind w:left="0" w:firstLine="0"/>
      </w:pPr>
      <w:rPr>
        <w:b w:val="0"/>
        <w:i w:val="0"/>
        <w:sz w:val="21"/>
      </w:rPr>
    </w:lvl>
    <w:lvl w:ilvl="6" w:tentative="0">
      <w:start w:val="1"/>
      <w:numFmt w:val="decimal"/>
      <w:lvlText w:val="%1.%2.%3.%4.%5.%6.%7"/>
      <w:lvlJc w:val="left"/>
      <w:pPr>
        <w:tabs>
          <w:tab w:val="left" w:pos="0"/>
        </w:tabs>
        <w:ind w:left="0" w:firstLine="0"/>
      </w:pPr>
      <w:rPr>
        <w:b w:val="0"/>
        <w:i w:val="0"/>
        <w:sz w:val="21"/>
      </w:rPr>
    </w:lvl>
    <w:lvl w:ilvl="7" w:tentative="0">
      <w:start w:val="1"/>
      <w:numFmt w:val="decimal"/>
      <w:lvlText w:val="%1.%2.%3.%4.%5.%6.%7.%8"/>
      <w:lvlJc w:val="left"/>
      <w:pPr>
        <w:tabs>
          <w:tab w:val="left" w:pos="0"/>
        </w:tabs>
        <w:ind w:left="0" w:firstLine="0"/>
      </w:pPr>
    </w:lvl>
    <w:lvl w:ilvl="8" w:tentative="0">
      <w:start w:val="1"/>
      <w:numFmt w:val="decimal"/>
      <w:lvlText w:val="%1.%2.%3.%4.%5.%6.%7.%8.%9"/>
      <w:lvlJc w:val="left"/>
      <w:pPr>
        <w:tabs>
          <w:tab w:val="left" w:pos="0"/>
        </w:tabs>
        <w:ind w:left="0" w:firstLine="0"/>
      </w:pPr>
    </w:lvl>
  </w:abstractNum>
  <w:abstractNum w:abstractNumId="13">
    <w:nsid w:val="70146DC0"/>
    <w:multiLevelType w:val="multilevel"/>
    <w:tmpl w:val="70146DC0"/>
    <w:lvl w:ilvl="0" w:tentative="0">
      <w:start w:val="1"/>
      <w:numFmt w:val="bullet"/>
      <w:pStyle w:val="292"/>
      <w:lvlText w:val=""/>
      <w:lvlJc w:val="left"/>
      <w:pPr>
        <w:tabs>
          <w:tab w:val="left" w:pos="746"/>
        </w:tabs>
        <w:ind w:left="746" w:hanging="360"/>
      </w:pPr>
      <w:rPr>
        <w:rFonts w:hint="default" w:ascii="Symbol" w:hAnsi="Symbol"/>
        <w:b/>
        <w:i w:val="0"/>
        <w:color w:val="auto"/>
        <w:sz w:val="22"/>
      </w:rPr>
    </w:lvl>
    <w:lvl w:ilvl="1" w:tentative="0">
      <w:start w:val="1"/>
      <w:numFmt w:val="bullet"/>
      <w:lvlText w:val="o"/>
      <w:lvlJc w:val="left"/>
      <w:pPr>
        <w:tabs>
          <w:tab w:val="left" w:pos="-5014"/>
        </w:tabs>
        <w:ind w:left="-5014" w:hanging="360"/>
      </w:pPr>
      <w:rPr>
        <w:rFonts w:hint="default" w:ascii="Courier New" w:hAnsi="Courier New" w:cs="Courier New"/>
      </w:rPr>
    </w:lvl>
    <w:lvl w:ilvl="2" w:tentative="0">
      <w:start w:val="1"/>
      <w:numFmt w:val="bullet"/>
      <w:lvlText w:val=""/>
      <w:lvlJc w:val="left"/>
      <w:pPr>
        <w:tabs>
          <w:tab w:val="left" w:pos="-4294"/>
        </w:tabs>
        <w:ind w:left="-4294" w:hanging="360"/>
      </w:pPr>
      <w:rPr>
        <w:rFonts w:hint="default" w:ascii="Wingdings" w:hAnsi="Wingdings"/>
      </w:rPr>
    </w:lvl>
    <w:lvl w:ilvl="3" w:tentative="0">
      <w:start w:val="1"/>
      <w:numFmt w:val="bullet"/>
      <w:lvlText w:val=""/>
      <w:lvlJc w:val="left"/>
      <w:pPr>
        <w:tabs>
          <w:tab w:val="left" w:pos="-3574"/>
        </w:tabs>
        <w:ind w:left="-3574" w:hanging="360"/>
      </w:pPr>
      <w:rPr>
        <w:rFonts w:hint="default" w:ascii="Symbol" w:hAnsi="Symbol"/>
      </w:rPr>
    </w:lvl>
    <w:lvl w:ilvl="4" w:tentative="0">
      <w:start w:val="1"/>
      <w:numFmt w:val="bullet"/>
      <w:lvlText w:val="o"/>
      <w:lvlJc w:val="left"/>
      <w:pPr>
        <w:tabs>
          <w:tab w:val="left" w:pos="-2854"/>
        </w:tabs>
        <w:ind w:left="-2854" w:hanging="360"/>
      </w:pPr>
      <w:rPr>
        <w:rFonts w:hint="default" w:ascii="Courier New" w:hAnsi="Courier New" w:cs="Courier New"/>
      </w:rPr>
    </w:lvl>
    <w:lvl w:ilvl="5" w:tentative="0">
      <w:start w:val="1"/>
      <w:numFmt w:val="bullet"/>
      <w:lvlText w:val=""/>
      <w:lvlJc w:val="left"/>
      <w:pPr>
        <w:tabs>
          <w:tab w:val="left" w:pos="-2134"/>
        </w:tabs>
        <w:ind w:left="-2134" w:hanging="360"/>
      </w:pPr>
      <w:rPr>
        <w:rFonts w:hint="default" w:ascii="Wingdings" w:hAnsi="Wingdings"/>
      </w:rPr>
    </w:lvl>
    <w:lvl w:ilvl="6" w:tentative="0">
      <w:start w:val="1"/>
      <w:numFmt w:val="bullet"/>
      <w:lvlText w:val=""/>
      <w:lvlJc w:val="left"/>
      <w:pPr>
        <w:tabs>
          <w:tab w:val="left" w:pos="-1414"/>
        </w:tabs>
        <w:ind w:left="-1414" w:hanging="360"/>
      </w:pPr>
      <w:rPr>
        <w:rFonts w:hint="default" w:ascii="Symbol" w:hAnsi="Symbol"/>
      </w:rPr>
    </w:lvl>
    <w:lvl w:ilvl="7" w:tentative="0">
      <w:start w:val="1"/>
      <w:numFmt w:val="bullet"/>
      <w:lvlText w:val="o"/>
      <w:lvlJc w:val="left"/>
      <w:pPr>
        <w:tabs>
          <w:tab w:val="left" w:pos="-694"/>
        </w:tabs>
        <w:ind w:left="-694" w:hanging="360"/>
      </w:pPr>
      <w:rPr>
        <w:rFonts w:hint="default" w:ascii="Courier New" w:hAnsi="Courier New" w:cs="Courier New"/>
      </w:rPr>
    </w:lvl>
    <w:lvl w:ilvl="8" w:tentative="0">
      <w:start w:val="1"/>
      <w:numFmt w:val="bullet"/>
      <w:lvlText w:val=""/>
      <w:lvlJc w:val="left"/>
      <w:pPr>
        <w:tabs>
          <w:tab w:val="left" w:pos="26"/>
        </w:tabs>
        <w:ind w:left="26" w:hanging="360"/>
      </w:pPr>
      <w:rPr>
        <w:rFonts w:hint="default" w:ascii="Wingdings" w:hAnsi="Wingdings"/>
      </w:rPr>
    </w:lvl>
  </w:abstractNum>
  <w:abstractNum w:abstractNumId="14">
    <w:nsid w:val="7BC330F5"/>
    <w:multiLevelType w:val="multilevel"/>
    <w:tmpl w:val="7BC330F5"/>
    <w:lvl w:ilvl="0" w:tentative="0">
      <w:start w:val="1"/>
      <w:numFmt w:val="bullet"/>
      <w:pStyle w:val="16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FBC1D75"/>
    <w:multiLevelType w:val="multilevel"/>
    <w:tmpl w:val="7FBC1D75"/>
    <w:lvl w:ilvl="0" w:tentative="0">
      <w:start w:val="6"/>
      <w:numFmt w:val="decimal"/>
      <w:pStyle w:val="193"/>
      <w:lvlText w:val="%1"/>
      <w:lvlJc w:val="left"/>
      <w:pPr>
        <w:tabs>
          <w:tab w:val="left" w:pos="1980"/>
        </w:tabs>
        <w:ind w:left="1980" w:hanging="1980"/>
      </w:pPr>
    </w:lvl>
    <w:lvl w:ilvl="1" w:tentative="0">
      <w:start w:val="6"/>
      <w:numFmt w:val="decimal"/>
      <w:lvlText w:val="%1.%2"/>
      <w:lvlJc w:val="left"/>
      <w:pPr>
        <w:tabs>
          <w:tab w:val="left" w:pos="1980"/>
        </w:tabs>
        <w:ind w:left="1980" w:hanging="1980"/>
      </w:pPr>
    </w:lvl>
    <w:lvl w:ilvl="2" w:tentative="0">
      <w:start w:val="2"/>
      <w:numFmt w:val="decimal"/>
      <w:lvlText w:val="%1.%2.%3"/>
      <w:lvlJc w:val="left"/>
      <w:pPr>
        <w:tabs>
          <w:tab w:val="left" w:pos="1980"/>
        </w:tabs>
        <w:ind w:left="1980" w:hanging="1980"/>
      </w:pPr>
    </w:lvl>
    <w:lvl w:ilvl="3" w:tentative="0">
      <w:start w:val="2"/>
      <w:numFmt w:val="decimal"/>
      <w:lvlText w:val="%1.%2.%3.%4"/>
      <w:lvlJc w:val="left"/>
      <w:pPr>
        <w:tabs>
          <w:tab w:val="left" w:pos="1980"/>
        </w:tabs>
        <w:ind w:left="1980" w:hanging="1980"/>
      </w:pPr>
    </w:lvl>
    <w:lvl w:ilvl="4" w:tentative="0">
      <w:start w:val="5"/>
      <w:numFmt w:val="decimal"/>
      <w:lvlText w:val="%1.%2.%3.%4.%5"/>
      <w:lvlJc w:val="left"/>
      <w:pPr>
        <w:tabs>
          <w:tab w:val="left" w:pos="1980"/>
        </w:tabs>
        <w:ind w:left="1980" w:hanging="1980"/>
      </w:pPr>
    </w:lvl>
    <w:lvl w:ilvl="5" w:tentative="0">
      <w:start w:val="3"/>
      <w:numFmt w:val="decimal"/>
      <w:lvlText w:val="%1.%2.%3.%4.%5.%6"/>
      <w:lvlJc w:val="left"/>
      <w:pPr>
        <w:tabs>
          <w:tab w:val="left" w:pos="1980"/>
        </w:tabs>
        <w:ind w:left="1980" w:hanging="1980"/>
      </w:pPr>
    </w:lvl>
    <w:lvl w:ilvl="6" w:tentative="0">
      <w:start w:val="1"/>
      <w:numFmt w:val="decimal"/>
      <w:lvlText w:val="%1.%2.%3.%4.%5.%6.%7"/>
      <w:lvlJc w:val="left"/>
      <w:pPr>
        <w:tabs>
          <w:tab w:val="left" w:pos="1980"/>
        </w:tabs>
        <w:ind w:left="1980" w:hanging="1980"/>
      </w:pPr>
    </w:lvl>
    <w:lvl w:ilvl="7" w:tentative="0">
      <w:start w:val="1"/>
      <w:numFmt w:val="decimal"/>
      <w:lvlText w:val="%1.%2.%3.%4.%5.%6.%7.%8"/>
      <w:lvlJc w:val="left"/>
      <w:pPr>
        <w:tabs>
          <w:tab w:val="left" w:pos="1980"/>
        </w:tabs>
        <w:ind w:left="1980" w:hanging="1980"/>
      </w:pPr>
    </w:lvl>
    <w:lvl w:ilvl="8" w:tentative="0">
      <w:start w:val="1"/>
      <w:numFmt w:val="decimal"/>
      <w:lvlText w:val="%1.%2.%3.%4.%5.%6.%7.%8.%9"/>
      <w:lvlJc w:val="left"/>
      <w:pPr>
        <w:tabs>
          <w:tab w:val="left" w:pos="1980"/>
        </w:tabs>
        <w:ind w:left="1980" w:hanging="19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13"/>
  </w:num>
  <w:num w:numId="11">
    <w:abstractNumId w:val="5"/>
  </w:num>
  <w:num w:numId="12">
    <w:abstractNumId w:val="0"/>
  </w:num>
  <w:num w:numId="13">
    <w:abstractNumId w:val="8"/>
  </w:num>
  <w:num w:numId="14">
    <w:abstractNumId w:val="3"/>
  </w:num>
  <w:num w:numId="15">
    <w:abstractNumId w:val="9"/>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linkStyles/>
  <w:attachedTemplate r:id="rId1"/>
  <w:documentProtection w:enforcement="0"/>
  <w:defaultTabStop w:val="284"/>
  <w:doNotHyphenateCaps/>
  <w:drawingGridHorizontalSpacing w:val="100"/>
  <w:drawingGridVerticalSpacing w:val="120"/>
  <w:displayHorizontalDrawingGridEvery w:val="1"/>
  <w:displayVerticalDrawingGridEvery w:val="1"/>
  <w:doNotShadeFormData w:val="1"/>
  <w:noPunctuationKerning w:val="1"/>
  <w:characterSpacingControl w:val="doNotCompress"/>
  <w:footnotePr>
    <w:numRestart w:val="eachSect"/>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357C"/>
    <w:rsid w:val="00024338"/>
    <w:rsid w:val="000243FC"/>
    <w:rsid w:val="00024952"/>
    <w:rsid w:val="00025358"/>
    <w:rsid w:val="000255E6"/>
    <w:rsid w:val="000259ED"/>
    <w:rsid w:val="00025AB4"/>
    <w:rsid w:val="00025E46"/>
    <w:rsid w:val="000268B8"/>
    <w:rsid w:val="00026ED2"/>
    <w:rsid w:val="00026F21"/>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353B"/>
    <w:rsid w:val="00063A62"/>
    <w:rsid w:val="00063BE7"/>
    <w:rsid w:val="000645B4"/>
    <w:rsid w:val="00066378"/>
    <w:rsid w:val="00066A4C"/>
    <w:rsid w:val="00066EE3"/>
    <w:rsid w:val="0006720F"/>
    <w:rsid w:val="0006789A"/>
    <w:rsid w:val="0007005D"/>
    <w:rsid w:val="00070629"/>
    <w:rsid w:val="000721FE"/>
    <w:rsid w:val="00072956"/>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C0"/>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2A24"/>
    <w:rsid w:val="000D45C9"/>
    <w:rsid w:val="000D52FA"/>
    <w:rsid w:val="000D5C69"/>
    <w:rsid w:val="000D6961"/>
    <w:rsid w:val="000D6AA9"/>
    <w:rsid w:val="000D6E60"/>
    <w:rsid w:val="000D7462"/>
    <w:rsid w:val="000D7542"/>
    <w:rsid w:val="000D7973"/>
    <w:rsid w:val="000D7CFD"/>
    <w:rsid w:val="000E0751"/>
    <w:rsid w:val="000E0994"/>
    <w:rsid w:val="000E0F8F"/>
    <w:rsid w:val="000E19A7"/>
    <w:rsid w:val="000E2DC9"/>
    <w:rsid w:val="000E3321"/>
    <w:rsid w:val="000E461C"/>
    <w:rsid w:val="000E5783"/>
    <w:rsid w:val="000E5D13"/>
    <w:rsid w:val="000E5EBF"/>
    <w:rsid w:val="000E618A"/>
    <w:rsid w:val="000E690B"/>
    <w:rsid w:val="000E74A7"/>
    <w:rsid w:val="000E7FE5"/>
    <w:rsid w:val="000F0B9E"/>
    <w:rsid w:val="000F0D9E"/>
    <w:rsid w:val="000F1A8C"/>
    <w:rsid w:val="000F1E50"/>
    <w:rsid w:val="000F3B6F"/>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2FA"/>
    <w:rsid w:val="00121744"/>
    <w:rsid w:val="001218ED"/>
    <w:rsid w:val="001222C1"/>
    <w:rsid w:val="00122A8D"/>
    <w:rsid w:val="00125407"/>
    <w:rsid w:val="00125567"/>
    <w:rsid w:val="0012561B"/>
    <w:rsid w:val="00125A88"/>
    <w:rsid w:val="00125B9F"/>
    <w:rsid w:val="001264B1"/>
    <w:rsid w:val="001265AC"/>
    <w:rsid w:val="00126A2A"/>
    <w:rsid w:val="00126AA3"/>
    <w:rsid w:val="00126D1A"/>
    <w:rsid w:val="001318C8"/>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F60"/>
    <w:rsid w:val="00171212"/>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D9C"/>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A30"/>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47F3"/>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7A85"/>
    <w:rsid w:val="002B0A1B"/>
    <w:rsid w:val="002B15A0"/>
    <w:rsid w:val="002B1929"/>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506"/>
    <w:rsid w:val="002D16B0"/>
    <w:rsid w:val="002D1B35"/>
    <w:rsid w:val="002D1B4F"/>
    <w:rsid w:val="002D2817"/>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E61"/>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362E"/>
    <w:rsid w:val="003440A3"/>
    <w:rsid w:val="00344667"/>
    <w:rsid w:val="00345588"/>
    <w:rsid w:val="003458D0"/>
    <w:rsid w:val="0035099A"/>
    <w:rsid w:val="003519AF"/>
    <w:rsid w:val="003527DD"/>
    <w:rsid w:val="00352C9D"/>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042C"/>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7F8"/>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5221"/>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38E4"/>
    <w:rsid w:val="003D47C3"/>
    <w:rsid w:val="003D4CEC"/>
    <w:rsid w:val="003D4EF2"/>
    <w:rsid w:val="003D5841"/>
    <w:rsid w:val="003D59D5"/>
    <w:rsid w:val="003D5DEA"/>
    <w:rsid w:val="003D5E81"/>
    <w:rsid w:val="003D6073"/>
    <w:rsid w:val="003D64C4"/>
    <w:rsid w:val="003D753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B28"/>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491"/>
    <w:rsid w:val="00424832"/>
    <w:rsid w:val="00424BCF"/>
    <w:rsid w:val="00424EAD"/>
    <w:rsid w:val="00425883"/>
    <w:rsid w:val="00425B98"/>
    <w:rsid w:val="00426079"/>
    <w:rsid w:val="00426096"/>
    <w:rsid w:val="004261CD"/>
    <w:rsid w:val="004265AA"/>
    <w:rsid w:val="0042688A"/>
    <w:rsid w:val="00427BF8"/>
    <w:rsid w:val="0043093F"/>
    <w:rsid w:val="00431A03"/>
    <w:rsid w:val="004329E6"/>
    <w:rsid w:val="00432BF2"/>
    <w:rsid w:val="00434856"/>
    <w:rsid w:val="0043558F"/>
    <w:rsid w:val="00437054"/>
    <w:rsid w:val="004405DB"/>
    <w:rsid w:val="00440AC3"/>
    <w:rsid w:val="00440D7A"/>
    <w:rsid w:val="00440EA2"/>
    <w:rsid w:val="004410AD"/>
    <w:rsid w:val="00441909"/>
    <w:rsid w:val="00441AC0"/>
    <w:rsid w:val="00442549"/>
    <w:rsid w:val="0044493E"/>
    <w:rsid w:val="00444F50"/>
    <w:rsid w:val="00446921"/>
    <w:rsid w:val="004505D5"/>
    <w:rsid w:val="004508F4"/>
    <w:rsid w:val="0045163F"/>
    <w:rsid w:val="00451FC4"/>
    <w:rsid w:val="00452702"/>
    <w:rsid w:val="004530B2"/>
    <w:rsid w:val="00454FEA"/>
    <w:rsid w:val="004564B4"/>
    <w:rsid w:val="004570AC"/>
    <w:rsid w:val="00457CEC"/>
    <w:rsid w:val="00457D58"/>
    <w:rsid w:val="0046002C"/>
    <w:rsid w:val="004611DF"/>
    <w:rsid w:val="0046122B"/>
    <w:rsid w:val="00461410"/>
    <w:rsid w:val="00462401"/>
    <w:rsid w:val="00462E83"/>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2AE"/>
    <w:rsid w:val="00476399"/>
    <w:rsid w:val="0047674A"/>
    <w:rsid w:val="004775D5"/>
    <w:rsid w:val="00477963"/>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3CD"/>
    <w:rsid w:val="00492730"/>
    <w:rsid w:val="00492B3A"/>
    <w:rsid w:val="00493510"/>
    <w:rsid w:val="00494080"/>
    <w:rsid w:val="00494761"/>
    <w:rsid w:val="00495002"/>
    <w:rsid w:val="00496714"/>
    <w:rsid w:val="004A039E"/>
    <w:rsid w:val="004A0E95"/>
    <w:rsid w:val="004A126D"/>
    <w:rsid w:val="004A159A"/>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466E"/>
    <w:rsid w:val="004F48CA"/>
    <w:rsid w:val="004F4E7F"/>
    <w:rsid w:val="004F5A32"/>
    <w:rsid w:val="004F5ADB"/>
    <w:rsid w:val="004F60B1"/>
    <w:rsid w:val="004F6F6D"/>
    <w:rsid w:val="00500476"/>
    <w:rsid w:val="005006F3"/>
    <w:rsid w:val="0050078D"/>
    <w:rsid w:val="00501587"/>
    <w:rsid w:val="0050327B"/>
    <w:rsid w:val="00505E8C"/>
    <w:rsid w:val="005063B3"/>
    <w:rsid w:val="0050694D"/>
    <w:rsid w:val="00506B77"/>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0CC4"/>
    <w:rsid w:val="00521481"/>
    <w:rsid w:val="00521CBF"/>
    <w:rsid w:val="00521F55"/>
    <w:rsid w:val="005225C6"/>
    <w:rsid w:val="00522EAD"/>
    <w:rsid w:val="00523049"/>
    <w:rsid w:val="00523372"/>
    <w:rsid w:val="00523D96"/>
    <w:rsid w:val="00524186"/>
    <w:rsid w:val="00525D2F"/>
    <w:rsid w:val="00526165"/>
    <w:rsid w:val="00526356"/>
    <w:rsid w:val="00527091"/>
    <w:rsid w:val="005279B8"/>
    <w:rsid w:val="00530065"/>
    <w:rsid w:val="00532191"/>
    <w:rsid w:val="00533C6E"/>
    <w:rsid w:val="005351E8"/>
    <w:rsid w:val="0053629F"/>
    <w:rsid w:val="00536BA8"/>
    <w:rsid w:val="00536D04"/>
    <w:rsid w:val="00537411"/>
    <w:rsid w:val="00540473"/>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4F43"/>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3600"/>
    <w:rsid w:val="00594C22"/>
    <w:rsid w:val="00594C68"/>
    <w:rsid w:val="00595549"/>
    <w:rsid w:val="00596454"/>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E1E9C"/>
    <w:rsid w:val="005E1FEF"/>
    <w:rsid w:val="005E2C2C"/>
    <w:rsid w:val="005E345A"/>
    <w:rsid w:val="005E4080"/>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7FE"/>
    <w:rsid w:val="00617428"/>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274"/>
    <w:rsid w:val="00643B46"/>
    <w:rsid w:val="006458B5"/>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A05A5"/>
    <w:rsid w:val="006A0CBB"/>
    <w:rsid w:val="006A1353"/>
    <w:rsid w:val="006A2C54"/>
    <w:rsid w:val="006A3B3B"/>
    <w:rsid w:val="006A48AC"/>
    <w:rsid w:val="006A4A7F"/>
    <w:rsid w:val="006A6971"/>
    <w:rsid w:val="006A6E83"/>
    <w:rsid w:val="006A7CF6"/>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1F4C"/>
    <w:rsid w:val="006D30E6"/>
    <w:rsid w:val="006D35B4"/>
    <w:rsid w:val="006D5047"/>
    <w:rsid w:val="006D516E"/>
    <w:rsid w:val="006D53B5"/>
    <w:rsid w:val="006D669F"/>
    <w:rsid w:val="006D7810"/>
    <w:rsid w:val="006E064C"/>
    <w:rsid w:val="006E0B5C"/>
    <w:rsid w:val="006E0C02"/>
    <w:rsid w:val="006E1452"/>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50EC"/>
    <w:rsid w:val="0070671B"/>
    <w:rsid w:val="007070E1"/>
    <w:rsid w:val="00707EA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3115"/>
    <w:rsid w:val="00724091"/>
    <w:rsid w:val="00724A26"/>
    <w:rsid w:val="00725116"/>
    <w:rsid w:val="007251C3"/>
    <w:rsid w:val="0072566B"/>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0773"/>
    <w:rsid w:val="0074107A"/>
    <w:rsid w:val="007416D2"/>
    <w:rsid w:val="00741C06"/>
    <w:rsid w:val="00742CC3"/>
    <w:rsid w:val="00743D37"/>
    <w:rsid w:val="00743F78"/>
    <w:rsid w:val="0074402B"/>
    <w:rsid w:val="00744C1F"/>
    <w:rsid w:val="007456A3"/>
    <w:rsid w:val="00745705"/>
    <w:rsid w:val="00745CF6"/>
    <w:rsid w:val="007465BA"/>
    <w:rsid w:val="00747701"/>
    <w:rsid w:val="0074786F"/>
    <w:rsid w:val="007525FD"/>
    <w:rsid w:val="00752C30"/>
    <w:rsid w:val="00752C81"/>
    <w:rsid w:val="007534BE"/>
    <w:rsid w:val="00753964"/>
    <w:rsid w:val="00753AC2"/>
    <w:rsid w:val="0075428B"/>
    <w:rsid w:val="00755098"/>
    <w:rsid w:val="00755C20"/>
    <w:rsid w:val="00757840"/>
    <w:rsid w:val="00757E9C"/>
    <w:rsid w:val="00761284"/>
    <w:rsid w:val="00761A53"/>
    <w:rsid w:val="0076206A"/>
    <w:rsid w:val="00762896"/>
    <w:rsid w:val="0076297B"/>
    <w:rsid w:val="007631C1"/>
    <w:rsid w:val="007637DF"/>
    <w:rsid w:val="00763FC2"/>
    <w:rsid w:val="0076423E"/>
    <w:rsid w:val="0076451B"/>
    <w:rsid w:val="00764DCC"/>
    <w:rsid w:val="007653C1"/>
    <w:rsid w:val="0076610B"/>
    <w:rsid w:val="0076635D"/>
    <w:rsid w:val="007704E1"/>
    <w:rsid w:val="007709FF"/>
    <w:rsid w:val="007717DE"/>
    <w:rsid w:val="00771980"/>
    <w:rsid w:val="00771EDD"/>
    <w:rsid w:val="00772586"/>
    <w:rsid w:val="007729AF"/>
    <w:rsid w:val="00772DAA"/>
    <w:rsid w:val="00772FF5"/>
    <w:rsid w:val="00773373"/>
    <w:rsid w:val="00773A5A"/>
    <w:rsid w:val="007741C0"/>
    <w:rsid w:val="0077426D"/>
    <w:rsid w:val="00775200"/>
    <w:rsid w:val="00776DC6"/>
    <w:rsid w:val="00777681"/>
    <w:rsid w:val="00777880"/>
    <w:rsid w:val="00777B35"/>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7130"/>
    <w:rsid w:val="00797465"/>
    <w:rsid w:val="00797539"/>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B10"/>
    <w:rsid w:val="007A5E8D"/>
    <w:rsid w:val="007A5E95"/>
    <w:rsid w:val="007A734B"/>
    <w:rsid w:val="007A7751"/>
    <w:rsid w:val="007A79FC"/>
    <w:rsid w:val="007A7DBF"/>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2122"/>
    <w:rsid w:val="007D38AC"/>
    <w:rsid w:val="007D3BCC"/>
    <w:rsid w:val="007D46A9"/>
    <w:rsid w:val="007D4FF8"/>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51A"/>
    <w:rsid w:val="008108E9"/>
    <w:rsid w:val="00812F8E"/>
    <w:rsid w:val="0081300B"/>
    <w:rsid w:val="00813427"/>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4F9"/>
    <w:rsid w:val="00862FE2"/>
    <w:rsid w:val="00864D99"/>
    <w:rsid w:val="00866398"/>
    <w:rsid w:val="00867271"/>
    <w:rsid w:val="0087111E"/>
    <w:rsid w:val="00871403"/>
    <w:rsid w:val="00873298"/>
    <w:rsid w:val="0087390B"/>
    <w:rsid w:val="00873941"/>
    <w:rsid w:val="00873959"/>
    <w:rsid w:val="00874380"/>
    <w:rsid w:val="00874595"/>
    <w:rsid w:val="00874AEC"/>
    <w:rsid w:val="00875752"/>
    <w:rsid w:val="00876EF6"/>
    <w:rsid w:val="00876F74"/>
    <w:rsid w:val="008804CD"/>
    <w:rsid w:val="008806E4"/>
    <w:rsid w:val="008809D5"/>
    <w:rsid w:val="00880DC8"/>
    <w:rsid w:val="00880E4F"/>
    <w:rsid w:val="00882774"/>
    <w:rsid w:val="0088483A"/>
    <w:rsid w:val="00885DFA"/>
    <w:rsid w:val="00886054"/>
    <w:rsid w:val="00887FA8"/>
    <w:rsid w:val="0089104A"/>
    <w:rsid w:val="008935AB"/>
    <w:rsid w:val="00893F0E"/>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5B07"/>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0C5B"/>
    <w:rsid w:val="008D17B4"/>
    <w:rsid w:val="008D19BA"/>
    <w:rsid w:val="008D22DD"/>
    <w:rsid w:val="008D2A0D"/>
    <w:rsid w:val="008D3DD6"/>
    <w:rsid w:val="008D4149"/>
    <w:rsid w:val="008D447A"/>
    <w:rsid w:val="008D4D76"/>
    <w:rsid w:val="008D4DDC"/>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160"/>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3D7F"/>
    <w:rsid w:val="009156E7"/>
    <w:rsid w:val="009160B9"/>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37AF0"/>
    <w:rsid w:val="0094098C"/>
    <w:rsid w:val="009430D3"/>
    <w:rsid w:val="00943719"/>
    <w:rsid w:val="00944A7B"/>
    <w:rsid w:val="00944D53"/>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42E6"/>
    <w:rsid w:val="009C5162"/>
    <w:rsid w:val="009C5659"/>
    <w:rsid w:val="009C6971"/>
    <w:rsid w:val="009C6C44"/>
    <w:rsid w:val="009C734E"/>
    <w:rsid w:val="009C7526"/>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77A"/>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D63"/>
    <w:rsid w:val="00A1525D"/>
    <w:rsid w:val="00A15587"/>
    <w:rsid w:val="00A16529"/>
    <w:rsid w:val="00A17D3C"/>
    <w:rsid w:val="00A21108"/>
    <w:rsid w:val="00A21F09"/>
    <w:rsid w:val="00A23789"/>
    <w:rsid w:val="00A23F5F"/>
    <w:rsid w:val="00A251D4"/>
    <w:rsid w:val="00A265AA"/>
    <w:rsid w:val="00A26629"/>
    <w:rsid w:val="00A2687D"/>
    <w:rsid w:val="00A26987"/>
    <w:rsid w:val="00A26E14"/>
    <w:rsid w:val="00A27EB9"/>
    <w:rsid w:val="00A300B2"/>
    <w:rsid w:val="00A31AAB"/>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521E"/>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4974"/>
    <w:rsid w:val="00A7506F"/>
    <w:rsid w:val="00A76EAC"/>
    <w:rsid w:val="00A80A9D"/>
    <w:rsid w:val="00A82896"/>
    <w:rsid w:val="00A83B82"/>
    <w:rsid w:val="00A8447F"/>
    <w:rsid w:val="00A84B89"/>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97AC9"/>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083"/>
    <w:rsid w:val="00AE1227"/>
    <w:rsid w:val="00AE1229"/>
    <w:rsid w:val="00AE273E"/>
    <w:rsid w:val="00AE2ED5"/>
    <w:rsid w:val="00AE3836"/>
    <w:rsid w:val="00AE4865"/>
    <w:rsid w:val="00AE574C"/>
    <w:rsid w:val="00AE5B08"/>
    <w:rsid w:val="00AE6BBB"/>
    <w:rsid w:val="00AE6DEC"/>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884"/>
    <w:rsid w:val="00B02280"/>
    <w:rsid w:val="00B0307A"/>
    <w:rsid w:val="00B068F8"/>
    <w:rsid w:val="00B06DCC"/>
    <w:rsid w:val="00B073CB"/>
    <w:rsid w:val="00B0774E"/>
    <w:rsid w:val="00B07F1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AA4"/>
    <w:rsid w:val="00B33C27"/>
    <w:rsid w:val="00B33CF9"/>
    <w:rsid w:val="00B33D24"/>
    <w:rsid w:val="00B33DD1"/>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6184"/>
    <w:rsid w:val="00B57405"/>
    <w:rsid w:val="00B57A45"/>
    <w:rsid w:val="00B60057"/>
    <w:rsid w:val="00B600AC"/>
    <w:rsid w:val="00B60A77"/>
    <w:rsid w:val="00B61E48"/>
    <w:rsid w:val="00B62E85"/>
    <w:rsid w:val="00B63DEC"/>
    <w:rsid w:val="00B64047"/>
    <w:rsid w:val="00B659CC"/>
    <w:rsid w:val="00B66C7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3FCB"/>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861"/>
    <w:rsid w:val="00BA0F6E"/>
    <w:rsid w:val="00BA1979"/>
    <w:rsid w:val="00BA364F"/>
    <w:rsid w:val="00BA401A"/>
    <w:rsid w:val="00BA4CAD"/>
    <w:rsid w:val="00BA4E4D"/>
    <w:rsid w:val="00BA5438"/>
    <w:rsid w:val="00BA6849"/>
    <w:rsid w:val="00BA6B5B"/>
    <w:rsid w:val="00BA725D"/>
    <w:rsid w:val="00BA7DB9"/>
    <w:rsid w:val="00BB0253"/>
    <w:rsid w:val="00BB1B41"/>
    <w:rsid w:val="00BB1F6D"/>
    <w:rsid w:val="00BB268A"/>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058"/>
    <w:rsid w:val="00BD1197"/>
    <w:rsid w:val="00BD1E6F"/>
    <w:rsid w:val="00BD2C3C"/>
    <w:rsid w:val="00BD37AB"/>
    <w:rsid w:val="00BD3C7F"/>
    <w:rsid w:val="00BD4491"/>
    <w:rsid w:val="00BD45A6"/>
    <w:rsid w:val="00BD49DC"/>
    <w:rsid w:val="00BD5AD7"/>
    <w:rsid w:val="00BD62F3"/>
    <w:rsid w:val="00BD6C75"/>
    <w:rsid w:val="00BD71CA"/>
    <w:rsid w:val="00BE1101"/>
    <w:rsid w:val="00BE1B06"/>
    <w:rsid w:val="00BE3D35"/>
    <w:rsid w:val="00BE454B"/>
    <w:rsid w:val="00BE4AEE"/>
    <w:rsid w:val="00BE5C1E"/>
    <w:rsid w:val="00BE64A0"/>
    <w:rsid w:val="00BE6DE9"/>
    <w:rsid w:val="00BE703B"/>
    <w:rsid w:val="00BF1E3E"/>
    <w:rsid w:val="00BF2130"/>
    <w:rsid w:val="00BF509F"/>
    <w:rsid w:val="00BF556F"/>
    <w:rsid w:val="00BF648F"/>
    <w:rsid w:val="00BF6968"/>
    <w:rsid w:val="00BF7956"/>
    <w:rsid w:val="00C0041C"/>
    <w:rsid w:val="00C0056C"/>
    <w:rsid w:val="00C01802"/>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534"/>
    <w:rsid w:val="00C21B81"/>
    <w:rsid w:val="00C21FA8"/>
    <w:rsid w:val="00C222BD"/>
    <w:rsid w:val="00C22EF0"/>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69F7"/>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8AC"/>
    <w:rsid w:val="00C47F72"/>
    <w:rsid w:val="00C51C62"/>
    <w:rsid w:val="00C52064"/>
    <w:rsid w:val="00C525AA"/>
    <w:rsid w:val="00C52DC4"/>
    <w:rsid w:val="00C53763"/>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87874"/>
    <w:rsid w:val="00C9017B"/>
    <w:rsid w:val="00C90760"/>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914"/>
    <w:rsid w:val="00CA5D8F"/>
    <w:rsid w:val="00CA713F"/>
    <w:rsid w:val="00CA728E"/>
    <w:rsid w:val="00CA748C"/>
    <w:rsid w:val="00CA7B55"/>
    <w:rsid w:val="00CB0C4A"/>
    <w:rsid w:val="00CB16CC"/>
    <w:rsid w:val="00CB199B"/>
    <w:rsid w:val="00CB22AB"/>
    <w:rsid w:val="00CB3989"/>
    <w:rsid w:val="00CB486B"/>
    <w:rsid w:val="00CB5883"/>
    <w:rsid w:val="00CB59B6"/>
    <w:rsid w:val="00CB59D8"/>
    <w:rsid w:val="00CB5D4C"/>
    <w:rsid w:val="00CB6544"/>
    <w:rsid w:val="00CB7906"/>
    <w:rsid w:val="00CC0A82"/>
    <w:rsid w:val="00CC1194"/>
    <w:rsid w:val="00CC29B9"/>
    <w:rsid w:val="00CC449F"/>
    <w:rsid w:val="00CC484F"/>
    <w:rsid w:val="00CC4B01"/>
    <w:rsid w:val="00CC559C"/>
    <w:rsid w:val="00CC5D1B"/>
    <w:rsid w:val="00CC76E1"/>
    <w:rsid w:val="00CC78AE"/>
    <w:rsid w:val="00CD16B1"/>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483E"/>
    <w:rsid w:val="00CF651B"/>
    <w:rsid w:val="00CF7BE2"/>
    <w:rsid w:val="00CF7FA4"/>
    <w:rsid w:val="00D00415"/>
    <w:rsid w:val="00D00AB8"/>
    <w:rsid w:val="00D00E41"/>
    <w:rsid w:val="00D0197A"/>
    <w:rsid w:val="00D01DBE"/>
    <w:rsid w:val="00D031E1"/>
    <w:rsid w:val="00D04B3F"/>
    <w:rsid w:val="00D05D8C"/>
    <w:rsid w:val="00D07AFC"/>
    <w:rsid w:val="00D10A4D"/>
    <w:rsid w:val="00D10A90"/>
    <w:rsid w:val="00D12757"/>
    <w:rsid w:val="00D12DD3"/>
    <w:rsid w:val="00D12EA6"/>
    <w:rsid w:val="00D13F25"/>
    <w:rsid w:val="00D16748"/>
    <w:rsid w:val="00D16F9E"/>
    <w:rsid w:val="00D16FA6"/>
    <w:rsid w:val="00D174D2"/>
    <w:rsid w:val="00D2062E"/>
    <w:rsid w:val="00D206A5"/>
    <w:rsid w:val="00D21171"/>
    <w:rsid w:val="00D221D7"/>
    <w:rsid w:val="00D22A65"/>
    <w:rsid w:val="00D240C7"/>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138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7AC"/>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6DD6"/>
    <w:rsid w:val="00E076E5"/>
    <w:rsid w:val="00E07CD5"/>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3F3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7B6"/>
    <w:rsid w:val="00E35CD0"/>
    <w:rsid w:val="00E365AF"/>
    <w:rsid w:val="00E3685C"/>
    <w:rsid w:val="00E37075"/>
    <w:rsid w:val="00E3784B"/>
    <w:rsid w:val="00E4050B"/>
    <w:rsid w:val="00E4233B"/>
    <w:rsid w:val="00E42B9B"/>
    <w:rsid w:val="00E432C5"/>
    <w:rsid w:val="00E441A5"/>
    <w:rsid w:val="00E44659"/>
    <w:rsid w:val="00E44F2B"/>
    <w:rsid w:val="00E452A6"/>
    <w:rsid w:val="00E4677A"/>
    <w:rsid w:val="00E47891"/>
    <w:rsid w:val="00E4796D"/>
    <w:rsid w:val="00E47CCB"/>
    <w:rsid w:val="00E50359"/>
    <w:rsid w:val="00E50622"/>
    <w:rsid w:val="00E50869"/>
    <w:rsid w:val="00E52644"/>
    <w:rsid w:val="00E53891"/>
    <w:rsid w:val="00E54002"/>
    <w:rsid w:val="00E541C9"/>
    <w:rsid w:val="00E54CB6"/>
    <w:rsid w:val="00E54DEC"/>
    <w:rsid w:val="00E55416"/>
    <w:rsid w:val="00E5542F"/>
    <w:rsid w:val="00E557C7"/>
    <w:rsid w:val="00E55DFD"/>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920"/>
    <w:rsid w:val="00E820E1"/>
    <w:rsid w:val="00E82BEF"/>
    <w:rsid w:val="00E82F46"/>
    <w:rsid w:val="00E83EB0"/>
    <w:rsid w:val="00E84EA5"/>
    <w:rsid w:val="00E85466"/>
    <w:rsid w:val="00E868FF"/>
    <w:rsid w:val="00E86F5D"/>
    <w:rsid w:val="00E87A87"/>
    <w:rsid w:val="00E87C8A"/>
    <w:rsid w:val="00E87CFD"/>
    <w:rsid w:val="00E87DB5"/>
    <w:rsid w:val="00E87DDB"/>
    <w:rsid w:val="00E87F02"/>
    <w:rsid w:val="00E90DA1"/>
    <w:rsid w:val="00E910B1"/>
    <w:rsid w:val="00E9168A"/>
    <w:rsid w:val="00E93CF8"/>
    <w:rsid w:val="00E9436D"/>
    <w:rsid w:val="00E94834"/>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5639"/>
    <w:rsid w:val="00EA5C53"/>
    <w:rsid w:val="00EA6CB3"/>
    <w:rsid w:val="00EA6DCD"/>
    <w:rsid w:val="00EA7775"/>
    <w:rsid w:val="00EB0D8F"/>
    <w:rsid w:val="00EB2283"/>
    <w:rsid w:val="00EB23E7"/>
    <w:rsid w:val="00EB259E"/>
    <w:rsid w:val="00EB25D9"/>
    <w:rsid w:val="00EB33BA"/>
    <w:rsid w:val="00EB382A"/>
    <w:rsid w:val="00EB3D6D"/>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3D"/>
    <w:rsid w:val="00EC5BD1"/>
    <w:rsid w:val="00EC725B"/>
    <w:rsid w:val="00ED08A7"/>
    <w:rsid w:val="00ED0A84"/>
    <w:rsid w:val="00ED0F49"/>
    <w:rsid w:val="00ED0FAC"/>
    <w:rsid w:val="00ED1A31"/>
    <w:rsid w:val="00ED33F3"/>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0240"/>
    <w:rsid w:val="00F0140E"/>
    <w:rsid w:val="00F01817"/>
    <w:rsid w:val="00F031D3"/>
    <w:rsid w:val="00F03224"/>
    <w:rsid w:val="00F03C12"/>
    <w:rsid w:val="00F04CD9"/>
    <w:rsid w:val="00F0633B"/>
    <w:rsid w:val="00F06EC3"/>
    <w:rsid w:val="00F078F6"/>
    <w:rsid w:val="00F0799C"/>
    <w:rsid w:val="00F10DD6"/>
    <w:rsid w:val="00F117CD"/>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B6A"/>
    <w:rsid w:val="00F35FE1"/>
    <w:rsid w:val="00F367DF"/>
    <w:rsid w:val="00F36C24"/>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44C"/>
    <w:rsid w:val="00F7390F"/>
    <w:rsid w:val="00F7406D"/>
    <w:rsid w:val="00F741F9"/>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28"/>
    <w:rsid w:val="00F87CB0"/>
    <w:rsid w:val="00F906C7"/>
    <w:rsid w:val="00F90FD8"/>
    <w:rsid w:val="00F91C74"/>
    <w:rsid w:val="00F91CFF"/>
    <w:rsid w:val="00F92174"/>
    <w:rsid w:val="00F92359"/>
    <w:rsid w:val="00F9271D"/>
    <w:rsid w:val="00F92988"/>
    <w:rsid w:val="00F953B6"/>
    <w:rsid w:val="00F9577C"/>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5AF4"/>
    <w:rsid w:val="00FC61B8"/>
    <w:rsid w:val="00FC6897"/>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 w:val="03196DEA"/>
    <w:rsid w:val="06352F8C"/>
    <w:rsid w:val="08927C0B"/>
    <w:rsid w:val="097D01CF"/>
    <w:rsid w:val="0A393F55"/>
    <w:rsid w:val="0E8E4682"/>
    <w:rsid w:val="0F683BC9"/>
    <w:rsid w:val="1292702C"/>
    <w:rsid w:val="12A21E13"/>
    <w:rsid w:val="13946797"/>
    <w:rsid w:val="169F6CCD"/>
    <w:rsid w:val="171506C3"/>
    <w:rsid w:val="1BD76E67"/>
    <w:rsid w:val="1E9604D4"/>
    <w:rsid w:val="211E1B0B"/>
    <w:rsid w:val="25167467"/>
    <w:rsid w:val="27794C4E"/>
    <w:rsid w:val="2A131C7E"/>
    <w:rsid w:val="2ABD2356"/>
    <w:rsid w:val="2D58634B"/>
    <w:rsid w:val="31594E0E"/>
    <w:rsid w:val="3A2223A3"/>
    <w:rsid w:val="3CF733A3"/>
    <w:rsid w:val="3DCD157A"/>
    <w:rsid w:val="3F7A515E"/>
    <w:rsid w:val="3FBE6FB9"/>
    <w:rsid w:val="41C903CA"/>
    <w:rsid w:val="489E5FC4"/>
    <w:rsid w:val="48C835F9"/>
    <w:rsid w:val="4A6605A3"/>
    <w:rsid w:val="4BD75038"/>
    <w:rsid w:val="4EB7000E"/>
    <w:rsid w:val="4FE11C88"/>
    <w:rsid w:val="511E0023"/>
    <w:rsid w:val="552D2F80"/>
    <w:rsid w:val="56A47953"/>
    <w:rsid w:val="57495432"/>
    <w:rsid w:val="5D963D5C"/>
    <w:rsid w:val="5E150E42"/>
    <w:rsid w:val="5E261664"/>
    <w:rsid w:val="632B7418"/>
    <w:rsid w:val="64540922"/>
    <w:rsid w:val="666F765F"/>
    <w:rsid w:val="6773588D"/>
    <w:rsid w:val="67E62FEA"/>
    <w:rsid w:val="72D5665C"/>
    <w:rsid w:val="736C4A9C"/>
    <w:rsid w:val="739946C0"/>
    <w:rsid w:val="749A2765"/>
    <w:rsid w:val="7A3B24F8"/>
    <w:rsid w:val="7C8F0A6B"/>
    <w:rsid w:val="7F7A6A5D"/>
    <w:rsid w:val="7F966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99" w:semiHidden="0" w:name="annotation reference"/>
    <w:lsdException w:uiPriority="99" w:name="line number"/>
    <w:lsdException w:uiPriority="99" w:name="page number"/>
    <w:lsdException w:qFormat="1" w:uiPriority="0" w:semiHidden="0" w:name="endnote reference"/>
    <w:lsdException w:qFormat="1" w:uiPriority="0" w:semiHidden="0"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semiHidden="0" w:name="List Number 3"/>
    <w:lsdException w:qFormat="1" w:uiPriority="0" w:semiHidden="0" w:name="List Number 4"/>
    <w:lsdException w:qFormat="1" w:uiPriority="0" w:semiHidden="0"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qFormat="1" w:uiPriority="0" w:semiHidden="0" w:name="Body Text 2"/>
    <w:lsdException w:qFormat="1" w:uiPriority="0" w:semiHidden="0" w:name="Body Text 3"/>
    <w:lsdException w:qFormat="1" w:uiPriority="0" w:semiHidden="0" w:name="Body Text Indent 2"/>
    <w:lsdException w:uiPriority="99"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0"/>
      <w:szCs w:val="24"/>
      <w:lang w:val="en-US" w:eastAsia="zh-CN" w:bidi="ar-SA"/>
    </w:rPr>
  </w:style>
  <w:style w:type="paragraph" w:styleId="2">
    <w:name w:val="heading 1"/>
    <w:next w:val="1"/>
    <w:link w:val="10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zh-CN" w:bidi="ar-SA"/>
    </w:rPr>
  </w:style>
  <w:style w:type="paragraph" w:styleId="3">
    <w:name w:val="heading 2"/>
    <w:basedOn w:val="2"/>
    <w:next w:val="1"/>
    <w:link w:val="105"/>
    <w:qFormat/>
    <w:uiPriority w:val="0"/>
    <w:pPr>
      <w:pBdr>
        <w:top w:val="none" w:color="auto" w:sz="0" w:space="0"/>
      </w:pBdr>
      <w:spacing w:before="180"/>
      <w:outlineLvl w:val="1"/>
    </w:pPr>
    <w:rPr>
      <w:sz w:val="32"/>
      <w:lang w:eastAsia="zh-CN"/>
    </w:rPr>
  </w:style>
  <w:style w:type="paragraph" w:styleId="4">
    <w:name w:val="heading 3"/>
    <w:basedOn w:val="3"/>
    <w:next w:val="1"/>
    <w:link w:val="127"/>
    <w:qFormat/>
    <w:uiPriority w:val="0"/>
    <w:pPr>
      <w:spacing w:before="120"/>
      <w:outlineLvl w:val="2"/>
    </w:pPr>
    <w:rPr>
      <w:sz w:val="28"/>
    </w:rPr>
  </w:style>
  <w:style w:type="paragraph" w:styleId="5">
    <w:name w:val="heading 4"/>
    <w:basedOn w:val="4"/>
    <w:next w:val="1"/>
    <w:link w:val="128"/>
    <w:qFormat/>
    <w:uiPriority w:val="0"/>
    <w:pPr>
      <w:ind w:left="1418" w:hanging="1418"/>
      <w:outlineLvl w:val="3"/>
    </w:pPr>
    <w:rPr>
      <w:sz w:val="24"/>
    </w:rPr>
  </w:style>
  <w:style w:type="paragraph" w:styleId="6">
    <w:name w:val="heading 5"/>
    <w:basedOn w:val="5"/>
    <w:next w:val="1"/>
    <w:link w:val="129"/>
    <w:qFormat/>
    <w:uiPriority w:val="0"/>
    <w:pPr>
      <w:ind w:left="1701" w:hanging="1701"/>
      <w:outlineLvl w:val="4"/>
    </w:pPr>
    <w:rPr>
      <w:sz w:val="22"/>
    </w:rPr>
  </w:style>
  <w:style w:type="paragraph" w:styleId="7">
    <w:name w:val="heading 6"/>
    <w:basedOn w:val="8"/>
    <w:next w:val="1"/>
    <w:link w:val="130"/>
    <w:qFormat/>
    <w:uiPriority w:val="0"/>
    <w:pPr>
      <w:outlineLvl w:val="5"/>
    </w:pPr>
  </w:style>
  <w:style w:type="paragraph" w:styleId="9">
    <w:name w:val="heading 7"/>
    <w:basedOn w:val="8"/>
    <w:next w:val="1"/>
    <w:link w:val="131"/>
    <w:qFormat/>
    <w:uiPriority w:val="0"/>
    <w:pPr>
      <w:outlineLvl w:val="6"/>
    </w:pPr>
  </w:style>
  <w:style w:type="paragraph" w:styleId="10">
    <w:name w:val="heading 8"/>
    <w:basedOn w:val="2"/>
    <w:next w:val="1"/>
    <w:link w:val="132"/>
    <w:qFormat/>
    <w:uiPriority w:val="0"/>
    <w:pPr>
      <w:ind w:left="0" w:firstLine="0"/>
      <w:outlineLvl w:val="7"/>
    </w:pPr>
    <w:rPr>
      <w:lang w:eastAsia="zh-CN"/>
    </w:rPr>
  </w:style>
  <w:style w:type="paragraph" w:styleId="11">
    <w:name w:val="heading 9"/>
    <w:basedOn w:val="10"/>
    <w:next w:val="1"/>
    <w:link w:val="133"/>
    <w:qFormat/>
    <w:uiPriority w:val="0"/>
    <w:pPr>
      <w:outlineLvl w:val="8"/>
    </w:pPr>
  </w:style>
  <w:style w:type="character" w:default="1" w:styleId="60">
    <w:name w:val="Default Paragraph Font"/>
    <w:semiHidden/>
    <w:unhideWhenUsed/>
    <w:qFormat/>
    <w:uiPriority w:val="1"/>
  </w:style>
  <w:style w:type="table" w:default="1" w:styleId="5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unhideWhenUsed/>
    <w:qFormat/>
    <w:uiPriority w:val="0"/>
    <w:pPr>
      <w:ind w:left="851"/>
    </w:pPr>
    <w:rPr>
      <w:lang w:val="it-IT" w:eastAsia="en-GB"/>
    </w:rPr>
  </w:style>
  <w:style w:type="paragraph" w:styleId="29">
    <w:name w:val="caption"/>
    <w:basedOn w:val="1"/>
    <w:next w:val="1"/>
    <w:link w:val="122"/>
    <w:qFormat/>
    <w:uiPriority w:val="0"/>
    <w:rPr>
      <w:b/>
      <w:bCs/>
      <w:lang w:eastAsia="zh-CN"/>
    </w:rPr>
  </w:style>
  <w:style w:type="paragraph" w:styleId="30">
    <w:name w:val="Document Map"/>
    <w:basedOn w:val="1"/>
    <w:link w:val="114"/>
    <w:semiHidden/>
    <w:qFormat/>
    <w:uiPriority w:val="0"/>
    <w:pPr>
      <w:shd w:val="clear" w:color="auto" w:fill="000080"/>
    </w:pPr>
    <w:rPr>
      <w:rFonts w:ascii="Tahoma" w:hAnsi="Tahoma"/>
      <w:lang w:eastAsia="zh-CN"/>
    </w:rPr>
  </w:style>
  <w:style w:type="paragraph" w:styleId="31">
    <w:name w:val="annotation text"/>
    <w:basedOn w:val="1"/>
    <w:link w:val="118"/>
    <w:semiHidden/>
    <w:qFormat/>
    <w:uiPriority w:val="0"/>
    <w:rPr>
      <w:lang w:eastAsia="zh-CN"/>
    </w:rPr>
  </w:style>
  <w:style w:type="paragraph" w:styleId="32">
    <w:name w:val="Body Text 3"/>
    <w:basedOn w:val="1"/>
    <w:link w:val="148"/>
    <w:unhideWhenUsed/>
    <w:qFormat/>
    <w:uiPriority w:val="0"/>
    <w:pPr>
      <w:keepNext/>
      <w:keepLines/>
    </w:pPr>
    <w:rPr>
      <w:rFonts w:eastAsia="Osaka"/>
      <w:color w:val="000000"/>
      <w:lang w:eastAsia="ja-JP"/>
    </w:rPr>
  </w:style>
  <w:style w:type="paragraph" w:styleId="33">
    <w:name w:val="Body Text"/>
    <w:basedOn w:val="1"/>
    <w:link w:val="104"/>
    <w:qFormat/>
    <w:uiPriority w:val="0"/>
    <w:rPr>
      <w:lang w:eastAsia="zh-CN"/>
    </w:rPr>
  </w:style>
  <w:style w:type="paragraph" w:styleId="34">
    <w:name w:val="Body Text Indent"/>
    <w:basedOn w:val="1"/>
    <w:link w:val="146"/>
    <w:unhideWhenUsed/>
    <w:qFormat/>
    <w:uiPriority w:val="0"/>
    <w:pPr>
      <w:widowControl w:val="0"/>
      <w:snapToGrid w:val="0"/>
      <w:ind w:left="210"/>
      <w:jc w:val="both"/>
    </w:pPr>
    <w:rPr>
      <w:kern w:val="2"/>
      <w:sz w:val="21"/>
      <w:lang w:eastAsia="ja-JP"/>
    </w:rPr>
  </w:style>
  <w:style w:type="paragraph" w:styleId="35">
    <w:name w:val="List Number 3"/>
    <w:basedOn w:val="1"/>
    <w:unhideWhenUsed/>
    <w:qFormat/>
    <w:uiPriority w:val="0"/>
    <w:pPr>
      <w:numPr>
        <w:ilvl w:val="0"/>
        <w:numId w:val="1"/>
      </w:numPr>
      <w:tabs>
        <w:tab w:val="left" w:pos="926"/>
      </w:tabs>
      <w:ind w:left="926"/>
    </w:pPr>
    <w:rPr>
      <w:lang w:eastAsia="en-GB"/>
    </w:rPr>
  </w:style>
  <w:style w:type="paragraph" w:styleId="36">
    <w:name w:val="Plain Text"/>
    <w:basedOn w:val="1"/>
    <w:link w:val="115"/>
    <w:qFormat/>
    <w:uiPriority w:val="0"/>
    <w:rPr>
      <w:rFonts w:ascii="Courier New" w:hAnsi="Courier New"/>
      <w:lang w:val="nb-NO" w:eastAsia="zh-CN"/>
    </w:rPr>
  </w:style>
  <w:style w:type="paragraph" w:styleId="37">
    <w:name w:val="List Bullet 5"/>
    <w:basedOn w:val="24"/>
    <w:qFormat/>
    <w:uiPriority w:val="0"/>
    <w:pPr>
      <w:ind w:left="1702"/>
    </w:pPr>
  </w:style>
  <w:style w:type="paragraph" w:styleId="38">
    <w:name w:val="List Number 4"/>
    <w:basedOn w:val="1"/>
    <w:unhideWhenUsed/>
    <w:qFormat/>
    <w:uiPriority w:val="0"/>
    <w:pPr>
      <w:numPr>
        <w:ilvl w:val="0"/>
        <w:numId w:val="2"/>
      </w:numPr>
      <w:tabs>
        <w:tab w:val="left" w:pos="1209"/>
      </w:tabs>
      <w:ind w:left="1209"/>
    </w:pPr>
    <w:rPr>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74"/>
    <w:semiHidden/>
    <w:unhideWhenUsed/>
    <w:qFormat/>
    <w:uiPriority w:val="99"/>
    <w:pPr>
      <w:ind w:left="100" w:leftChars="2500"/>
    </w:pPr>
  </w:style>
  <w:style w:type="paragraph" w:styleId="41">
    <w:name w:val="Body Text Indent 2"/>
    <w:basedOn w:val="1"/>
    <w:link w:val="149"/>
    <w:unhideWhenUsed/>
    <w:qFormat/>
    <w:uiPriority w:val="0"/>
    <w:pPr>
      <w:ind w:left="400" w:leftChars="100" w:hanging="200" w:hangingChars="100"/>
    </w:pPr>
    <w:rPr>
      <w:lang w:eastAsia="en-GB"/>
    </w:rPr>
  </w:style>
  <w:style w:type="paragraph" w:styleId="42">
    <w:name w:val="endnote text"/>
    <w:basedOn w:val="1"/>
    <w:link w:val="143"/>
    <w:unhideWhenUsed/>
    <w:qFormat/>
    <w:uiPriority w:val="0"/>
    <w:pPr>
      <w:snapToGrid w:val="0"/>
    </w:pPr>
    <w:rPr>
      <w:rFonts w:eastAsia="宋体"/>
      <w:lang w:eastAsia="zh-CN"/>
    </w:rPr>
  </w:style>
  <w:style w:type="paragraph" w:styleId="43">
    <w:name w:val="Balloon Text"/>
    <w:basedOn w:val="1"/>
    <w:link w:val="106"/>
    <w:semiHidden/>
    <w:unhideWhenUsed/>
    <w:qFormat/>
    <w:uiPriority w:val="0"/>
    <w:rPr>
      <w:rFonts w:ascii="Tahoma" w:hAnsi="Tahoma"/>
      <w:sz w:val="16"/>
      <w:szCs w:val="16"/>
      <w:lang w:eastAsia="zh-CN"/>
    </w:rPr>
  </w:style>
  <w:style w:type="paragraph" w:styleId="44">
    <w:name w:val="footer"/>
    <w:basedOn w:val="45"/>
    <w:link w:val="135"/>
    <w:qFormat/>
    <w:uiPriority w:val="0"/>
    <w:pPr>
      <w:jc w:val="center"/>
    </w:pPr>
    <w:rPr>
      <w:i/>
      <w:lang w:val="zh-CN" w:eastAsia="zh-CN"/>
    </w:rPr>
  </w:style>
  <w:style w:type="paragraph" w:styleId="45">
    <w:name w:val="header"/>
    <w:link w:val="102"/>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zh-CN" w:bidi="ar-SA"/>
    </w:rPr>
  </w:style>
  <w:style w:type="paragraph" w:styleId="46">
    <w:name w:val="index heading"/>
    <w:basedOn w:val="1"/>
    <w:next w:val="1"/>
    <w:semiHidden/>
    <w:qFormat/>
    <w:uiPriority w:val="0"/>
    <w:pPr>
      <w:pBdr>
        <w:top w:val="single" w:color="auto" w:sz="12" w:space="0"/>
      </w:pBdr>
      <w:spacing w:before="360" w:after="240"/>
    </w:pPr>
    <w:rPr>
      <w:b/>
      <w:i/>
      <w:sz w:val="26"/>
    </w:rPr>
  </w:style>
  <w:style w:type="paragraph" w:styleId="47">
    <w:name w:val="List Number 5"/>
    <w:basedOn w:val="1"/>
    <w:unhideWhenUsed/>
    <w:qFormat/>
    <w:uiPriority w:val="0"/>
    <w:pPr>
      <w:tabs>
        <w:tab w:val="left" w:pos="851"/>
        <w:tab w:val="left" w:pos="1800"/>
      </w:tabs>
      <w:ind w:left="1800" w:hanging="851"/>
    </w:pPr>
    <w:rPr>
      <w:lang w:eastAsia="en-GB"/>
    </w:rPr>
  </w:style>
  <w:style w:type="paragraph" w:styleId="48">
    <w:name w:val="footnote text"/>
    <w:basedOn w:val="1"/>
    <w:link w:val="134"/>
    <w:semiHidden/>
    <w:qFormat/>
    <w:uiPriority w:val="0"/>
    <w:pPr>
      <w:keepLines/>
      <w:ind w:left="454" w:hanging="454"/>
    </w:pPr>
    <w:rPr>
      <w:sz w:val="16"/>
      <w:lang w:eastAsia="zh-CN"/>
    </w:rPr>
  </w:style>
  <w:style w:type="paragraph" w:styleId="49">
    <w:name w:val="List 5"/>
    <w:basedOn w:val="50"/>
    <w:qFormat/>
    <w:uiPriority w:val="0"/>
    <w:pPr>
      <w:ind w:left="1702"/>
    </w:pPr>
  </w:style>
  <w:style w:type="paragraph" w:styleId="50">
    <w:name w:val="List 4"/>
    <w:basedOn w:val="12"/>
    <w:qFormat/>
    <w:uiPriority w:val="0"/>
    <w:pPr>
      <w:ind w:left="1418"/>
    </w:pPr>
  </w:style>
  <w:style w:type="paragraph" w:styleId="51">
    <w:name w:val="toc 9"/>
    <w:basedOn w:val="39"/>
    <w:next w:val="1"/>
    <w:qFormat/>
    <w:uiPriority w:val="0"/>
    <w:pPr>
      <w:ind w:left="1418" w:hanging="1418"/>
    </w:pPr>
  </w:style>
  <w:style w:type="paragraph" w:styleId="52">
    <w:name w:val="Body Text 2"/>
    <w:basedOn w:val="1"/>
    <w:link w:val="147"/>
    <w:unhideWhenUsed/>
    <w:qFormat/>
    <w:uiPriority w:val="0"/>
    <w:rPr>
      <w:i/>
      <w:lang w:eastAsia="ja-JP"/>
    </w:rPr>
  </w:style>
  <w:style w:type="paragraph" w:styleId="53">
    <w:name w:val="Normal (Web)"/>
    <w:basedOn w:val="1"/>
    <w:unhideWhenUsed/>
    <w:qFormat/>
    <w:uiPriority w:val="99"/>
    <w:pPr>
      <w:spacing w:before="100" w:beforeAutospacing="1" w:after="100" w:afterAutospacing="1"/>
    </w:pPr>
  </w:style>
  <w:style w:type="paragraph" w:styleId="54">
    <w:name w:val="index 1"/>
    <w:basedOn w:val="1"/>
    <w:next w:val="1"/>
    <w:semiHidden/>
    <w:qFormat/>
    <w:uiPriority w:val="0"/>
    <w:pPr>
      <w:keepLines/>
    </w:pPr>
  </w:style>
  <w:style w:type="paragraph" w:styleId="55">
    <w:name w:val="index 2"/>
    <w:basedOn w:val="54"/>
    <w:next w:val="1"/>
    <w:semiHidden/>
    <w:qFormat/>
    <w:uiPriority w:val="0"/>
    <w:pPr>
      <w:ind w:left="284"/>
    </w:pPr>
  </w:style>
  <w:style w:type="paragraph" w:styleId="56">
    <w:name w:val="Title"/>
    <w:basedOn w:val="1"/>
    <w:next w:val="1"/>
    <w:link w:val="144"/>
    <w:qFormat/>
    <w:uiPriority w:val="0"/>
    <w:pPr>
      <w:spacing w:before="240" w:after="60"/>
      <w:outlineLvl w:val="0"/>
    </w:pPr>
    <w:rPr>
      <w:rFonts w:ascii="Courier New" w:hAnsi="Courier New"/>
      <w:lang w:val="nb-NO" w:eastAsia="ja-JP"/>
    </w:rPr>
  </w:style>
  <w:style w:type="paragraph" w:styleId="57">
    <w:name w:val="annotation subject"/>
    <w:basedOn w:val="31"/>
    <w:next w:val="31"/>
    <w:link w:val="121"/>
    <w:qFormat/>
    <w:uiPriority w:val="0"/>
    <w:rPr>
      <w:b/>
      <w:bCs/>
    </w:rPr>
  </w:style>
  <w:style w:type="table" w:styleId="59">
    <w:name w:val="Table Grid"/>
    <w:basedOn w:val="58"/>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1">
    <w:name w:val="Strong"/>
    <w:qFormat/>
    <w:uiPriority w:val="22"/>
    <w:rPr>
      <w:b/>
      <w:bCs/>
    </w:rPr>
  </w:style>
  <w:style w:type="character" w:styleId="62">
    <w:name w:val="endnote reference"/>
    <w:unhideWhenUsed/>
    <w:qFormat/>
    <w:uiPriority w:val="0"/>
    <w:rPr>
      <w:vertAlign w:val="superscript"/>
    </w:rPr>
  </w:style>
  <w:style w:type="character" w:styleId="63">
    <w:name w:val="FollowedHyperlink"/>
    <w:qFormat/>
    <w:uiPriority w:val="0"/>
    <w:rPr>
      <w:color w:val="800080"/>
      <w:u w:val="single"/>
    </w:rPr>
  </w:style>
  <w:style w:type="character" w:styleId="64">
    <w:name w:val="Emphasis"/>
    <w:qFormat/>
    <w:uiPriority w:val="0"/>
    <w:rPr>
      <w:i/>
      <w:iCs/>
    </w:rPr>
  </w:style>
  <w:style w:type="character" w:styleId="65">
    <w:name w:val="Hyperlink"/>
    <w:qFormat/>
    <w:uiPriority w:val="0"/>
    <w:rPr>
      <w:color w:val="0000FF"/>
      <w:u w:val="single"/>
    </w:rPr>
  </w:style>
  <w:style w:type="character" w:styleId="66">
    <w:name w:val="annotation reference"/>
    <w:qFormat/>
    <w:uiPriority w:val="99"/>
    <w:rPr>
      <w:sz w:val="16"/>
    </w:rPr>
  </w:style>
  <w:style w:type="character" w:styleId="67">
    <w:name w:val="footnote reference"/>
    <w:semiHidden/>
    <w:qFormat/>
    <w:uiPriority w:val="0"/>
    <w:rPr>
      <w:b/>
      <w:position w:val="6"/>
      <w:sz w:val="16"/>
    </w:rPr>
  </w:style>
  <w:style w:type="paragraph" w:customStyle="1" w:styleId="6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6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70">
    <w:name w:val="TT"/>
    <w:basedOn w:val="2"/>
    <w:next w:val="1"/>
    <w:qFormat/>
    <w:uiPriority w:val="0"/>
    <w:pPr>
      <w:outlineLvl w:val="9"/>
    </w:pPr>
  </w:style>
  <w:style w:type="paragraph" w:customStyle="1" w:styleId="71">
    <w:name w:val="TAH"/>
    <w:basedOn w:val="72"/>
    <w:link w:val="125"/>
    <w:qFormat/>
    <w:uiPriority w:val="0"/>
    <w:rPr>
      <w:b/>
    </w:rPr>
  </w:style>
  <w:style w:type="paragraph" w:customStyle="1" w:styleId="72">
    <w:name w:val="TAC"/>
    <w:basedOn w:val="73"/>
    <w:link w:val="124"/>
    <w:qFormat/>
    <w:uiPriority w:val="0"/>
    <w:pPr>
      <w:jc w:val="center"/>
    </w:pPr>
  </w:style>
  <w:style w:type="paragraph" w:customStyle="1" w:styleId="73">
    <w:name w:val="TAL"/>
    <w:basedOn w:val="1"/>
    <w:link w:val="120"/>
    <w:qFormat/>
    <w:uiPriority w:val="0"/>
    <w:pPr>
      <w:keepNext/>
      <w:keepLines/>
    </w:pPr>
    <w:rPr>
      <w:rFonts w:ascii="Arial" w:hAnsi="Arial"/>
      <w:sz w:val="18"/>
      <w:lang w:eastAsia="zh-CN"/>
    </w:rPr>
  </w:style>
  <w:style w:type="paragraph" w:customStyle="1" w:styleId="74">
    <w:name w:val="TF"/>
    <w:basedOn w:val="75"/>
    <w:link w:val="103"/>
    <w:qFormat/>
    <w:uiPriority w:val="0"/>
    <w:pPr>
      <w:keepNext w:val="0"/>
      <w:spacing w:before="0" w:after="240"/>
    </w:pPr>
  </w:style>
  <w:style w:type="paragraph" w:customStyle="1" w:styleId="75">
    <w:name w:val="TH"/>
    <w:basedOn w:val="1"/>
    <w:link w:val="123"/>
    <w:qFormat/>
    <w:uiPriority w:val="0"/>
    <w:pPr>
      <w:keepNext/>
      <w:keepLines/>
      <w:spacing w:before="60"/>
      <w:jc w:val="center"/>
    </w:pPr>
    <w:rPr>
      <w:rFonts w:ascii="Arial" w:hAnsi="Arial"/>
      <w:b/>
      <w:lang w:eastAsia="zh-CN"/>
    </w:rPr>
  </w:style>
  <w:style w:type="paragraph" w:customStyle="1" w:styleId="76">
    <w:name w:val="NO"/>
    <w:basedOn w:val="1"/>
    <w:link w:val="152"/>
    <w:qFormat/>
    <w:uiPriority w:val="0"/>
    <w:pPr>
      <w:keepLines/>
      <w:ind w:left="1135" w:hanging="851"/>
    </w:pPr>
    <w:rPr>
      <w:lang w:eastAsia="zh-CN"/>
    </w:rPr>
  </w:style>
  <w:style w:type="paragraph" w:customStyle="1" w:styleId="77">
    <w:name w:val="EX"/>
    <w:basedOn w:val="1"/>
    <w:link w:val="154"/>
    <w:qFormat/>
    <w:uiPriority w:val="0"/>
    <w:pPr>
      <w:keepLines/>
      <w:ind w:left="1702" w:hanging="1418"/>
    </w:pPr>
    <w:rPr>
      <w:lang w:eastAsia="zh-CN"/>
    </w:rPr>
  </w:style>
  <w:style w:type="paragraph" w:customStyle="1" w:styleId="78">
    <w:name w:val="FP"/>
    <w:basedOn w:val="1"/>
    <w:qFormat/>
    <w:uiPriority w:val="0"/>
  </w:style>
  <w:style w:type="paragraph" w:customStyle="1" w:styleId="79">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80">
    <w:name w:val="NW"/>
    <w:basedOn w:val="76"/>
    <w:qFormat/>
    <w:uiPriority w:val="0"/>
  </w:style>
  <w:style w:type="paragraph" w:customStyle="1" w:styleId="81">
    <w:name w:val="EW"/>
    <w:basedOn w:val="77"/>
    <w:qFormat/>
    <w:uiPriority w:val="0"/>
  </w:style>
  <w:style w:type="paragraph" w:customStyle="1" w:styleId="82">
    <w:name w:val="EQ"/>
    <w:basedOn w:val="1"/>
    <w:next w:val="1"/>
    <w:qFormat/>
    <w:uiPriority w:val="0"/>
    <w:pPr>
      <w:keepLines/>
      <w:tabs>
        <w:tab w:val="center" w:pos="4536"/>
        <w:tab w:val="right" w:pos="9072"/>
      </w:tabs>
    </w:pPr>
  </w:style>
  <w:style w:type="paragraph" w:customStyle="1" w:styleId="83">
    <w:name w:val="NF"/>
    <w:basedOn w:val="76"/>
    <w:qFormat/>
    <w:uiPriority w:val="0"/>
    <w:pPr>
      <w:keepNext/>
    </w:pPr>
    <w:rPr>
      <w:rFonts w:ascii="Arial" w:hAnsi="Arial"/>
      <w:sz w:val="18"/>
    </w:rPr>
  </w:style>
  <w:style w:type="paragraph" w:customStyle="1" w:styleId="84">
    <w:name w:val="PL"/>
    <w:link w:val="2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85">
    <w:name w:val="TAR"/>
    <w:basedOn w:val="73"/>
    <w:qFormat/>
    <w:uiPriority w:val="0"/>
    <w:pPr>
      <w:jc w:val="right"/>
    </w:pPr>
  </w:style>
  <w:style w:type="paragraph" w:customStyle="1" w:styleId="86">
    <w:name w:val="TAN"/>
    <w:basedOn w:val="73"/>
    <w:link w:val="126"/>
    <w:qFormat/>
    <w:uiPriority w:val="0"/>
    <w:pPr>
      <w:ind w:left="851" w:hanging="851"/>
    </w:pPr>
  </w:style>
  <w:style w:type="paragraph" w:customStyle="1" w:styleId="8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8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8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9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91">
    <w:name w:val="ZV"/>
    <w:basedOn w:val="90"/>
    <w:qFormat/>
    <w:uiPriority w:val="0"/>
    <w:pPr>
      <w:framePr w:y="16161"/>
    </w:pPr>
  </w:style>
  <w:style w:type="character" w:customStyle="1" w:styleId="92">
    <w:name w:val="ZGSM"/>
    <w:qFormat/>
    <w:uiPriority w:val="0"/>
  </w:style>
  <w:style w:type="paragraph" w:customStyle="1" w:styleId="9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94">
    <w:name w:val="Editor's Note"/>
    <w:basedOn w:val="76"/>
    <w:qFormat/>
    <w:uiPriority w:val="0"/>
    <w:rPr>
      <w:color w:val="FF0000"/>
    </w:rPr>
  </w:style>
  <w:style w:type="paragraph" w:customStyle="1" w:styleId="95">
    <w:name w:val="B1"/>
    <w:basedOn w:val="14"/>
    <w:link w:val="155"/>
    <w:qFormat/>
    <w:uiPriority w:val="0"/>
    <w:rPr>
      <w:lang w:eastAsia="zh-CN"/>
    </w:rPr>
  </w:style>
  <w:style w:type="paragraph" w:customStyle="1" w:styleId="96">
    <w:name w:val="B2"/>
    <w:basedOn w:val="13"/>
    <w:link w:val="272"/>
    <w:qFormat/>
    <w:uiPriority w:val="0"/>
  </w:style>
  <w:style w:type="paragraph" w:customStyle="1" w:styleId="97">
    <w:name w:val="B3"/>
    <w:basedOn w:val="12"/>
    <w:qFormat/>
    <w:uiPriority w:val="0"/>
  </w:style>
  <w:style w:type="paragraph" w:customStyle="1" w:styleId="98">
    <w:name w:val="B4"/>
    <w:basedOn w:val="50"/>
    <w:qFormat/>
    <w:uiPriority w:val="0"/>
  </w:style>
  <w:style w:type="paragraph" w:customStyle="1" w:styleId="99">
    <w:name w:val="B5"/>
    <w:basedOn w:val="49"/>
    <w:qFormat/>
    <w:uiPriority w:val="0"/>
  </w:style>
  <w:style w:type="paragraph" w:customStyle="1" w:styleId="100">
    <w:name w:val="ZTD"/>
    <w:basedOn w:val="88"/>
    <w:qFormat/>
    <w:uiPriority w:val="0"/>
    <w:pPr>
      <w:framePr w:hRule="auto" w:y="852"/>
    </w:pPr>
    <w:rPr>
      <w:i w:val="0"/>
      <w:sz w:val="40"/>
    </w:rPr>
  </w:style>
  <w:style w:type="character" w:customStyle="1" w:styleId="101">
    <w:name w:val="Heading 1 Char"/>
    <w:link w:val="2"/>
    <w:qFormat/>
    <w:uiPriority w:val="0"/>
    <w:rPr>
      <w:rFonts w:ascii="Arial" w:hAnsi="Arial"/>
      <w:sz w:val="36"/>
      <w:lang w:val="en-GB" w:bidi="ar-SA"/>
    </w:rPr>
  </w:style>
  <w:style w:type="character" w:customStyle="1" w:styleId="102">
    <w:name w:val="Header Char"/>
    <w:link w:val="45"/>
    <w:qFormat/>
    <w:locked/>
    <w:uiPriority w:val="0"/>
    <w:rPr>
      <w:rFonts w:ascii="Arial" w:hAnsi="Arial"/>
      <w:b/>
      <w:sz w:val="18"/>
      <w:lang w:bidi="ar-SA"/>
    </w:rPr>
  </w:style>
  <w:style w:type="character" w:customStyle="1" w:styleId="103">
    <w:name w:val="TF Char"/>
    <w:link w:val="74"/>
    <w:qFormat/>
    <w:uiPriority w:val="0"/>
    <w:rPr>
      <w:rFonts w:ascii="Arial" w:hAnsi="Arial"/>
      <w:b/>
      <w:lang w:val="en-GB"/>
    </w:rPr>
  </w:style>
  <w:style w:type="character" w:customStyle="1" w:styleId="104">
    <w:name w:val="Body Text Char"/>
    <w:link w:val="33"/>
    <w:qFormat/>
    <w:uiPriority w:val="0"/>
    <w:rPr>
      <w:rFonts w:ascii="Times New Roman" w:hAnsi="Times New Roman"/>
      <w:lang w:val="en-GB"/>
    </w:rPr>
  </w:style>
  <w:style w:type="character" w:customStyle="1" w:styleId="105">
    <w:name w:val="Heading 2 Char"/>
    <w:link w:val="3"/>
    <w:qFormat/>
    <w:uiPriority w:val="0"/>
    <w:rPr>
      <w:rFonts w:ascii="Arial" w:hAnsi="Arial"/>
      <w:sz w:val="32"/>
      <w:lang w:val="en-GB"/>
    </w:rPr>
  </w:style>
  <w:style w:type="character" w:customStyle="1" w:styleId="106">
    <w:name w:val="Balloon Text Char"/>
    <w:link w:val="43"/>
    <w:semiHidden/>
    <w:qFormat/>
    <w:uiPriority w:val="0"/>
    <w:rPr>
      <w:rFonts w:ascii="Tahoma" w:hAnsi="Tahoma" w:cs="Tahoma"/>
      <w:sz w:val="16"/>
      <w:szCs w:val="16"/>
      <w:lang w:val="en-GB"/>
    </w:rPr>
  </w:style>
  <w:style w:type="paragraph" w:customStyle="1" w:styleId="107">
    <w:name w:val="INDENT1"/>
    <w:basedOn w:val="1"/>
    <w:qFormat/>
    <w:uiPriority w:val="0"/>
    <w:pPr>
      <w:ind w:left="851"/>
    </w:pPr>
  </w:style>
  <w:style w:type="paragraph" w:customStyle="1" w:styleId="108">
    <w:name w:val="INDENT2"/>
    <w:basedOn w:val="1"/>
    <w:qFormat/>
    <w:uiPriority w:val="0"/>
    <w:pPr>
      <w:ind w:left="1135" w:hanging="284"/>
    </w:pPr>
  </w:style>
  <w:style w:type="paragraph" w:customStyle="1" w:styleId="109">
    <w:name w:val="INDENT3"/>
    <w:basedOn w:val="1"/>
    <w:qFormat/>
    <w:uiPriority w:val="0"/>
    <w:pPr>
      <w:ind w:left="1701" w:hanging="567"/>
    </w:pPr>
  </w:style>
  <w:style w:type="paragraph" w:customStyle="1" w:styleId="110">
    <w:name w:val="Figure_Title"/>
    <w:basedOn w:val="1"/>
    <w:next w:val="1"/>
    <w:qFormat/>
    <w:uiPriority w:val="0"/>
    <w:pPr>
      <w:keepLines/>
      <w:tabs>
        <w:tab w:val="left" w:pos="794"/>
        <w:tab w:val="left" w:pos="1191"/>
        <w:tab w:val="left" w:pos="1588"/>
        <w:tab w:val="left" w:pos="1985"/>
      </w:tabs>
      <w:spacing w:before="120" w:after="480"/>
      <w:jc w:val="center"/>
    </w:pPr>
    <w:rPr>
      <w:b/>
    </w:rPr>
  </w:style>
  <w:style w:type="paragraph" w:customStyle="1" w:styleId="111">
    <w:name w:val="Rec_CCITT_#"/>
    <w:basedOn w:val="1"/>
    <w:qFormat/>
    <w:uiPriority w:val="0"/>
    <w:pPr>
      <w:keepNext/>
      <w:keepLines/>
    </w:pPr>
    <w:rPr>
      <w:b/>
    </w:rPr>
  </w:style>
  <w:style w:type="paragraph" w:customStyle="1" w:styleId="112">
    <w:name w:val="enumlev2"/>
    <w:basedOn w:val="1"/>
    <w:qFormat/>
    <w:uiPriority w:val="0"/>
    <w:pPr>
      <w:tabs>
        <w:tab w:val="left" w:pos="794"/>
        <w:tab w:val="left" w:pos="1191"/>
        <w:tab w:val="left" w:pos="1588"/>
        <w:tab w:val="left" w:pos="1985"/>
      </w:tabs>
      <w:spacing w:before="86"/>
      <w:ind w:left="1588" w:hanging="397"/>
      <w:jc w:val="both"/>
    </w:pPr>
  </w:style>
  <w:style w:type="paragraph" w:customStyle="1" w:styleId="113">
    <w:name w:val="Couv Rec Title"/>
    <w:basedOn w:val="1"/>
    <w:qFormat/>
    <w:uiPriority w:val="0"/>
    <w:pPr>
      <w:keepNext/>
      <w:keepLines/>
      <w:spacing w:before="240"/>
      <w:ind w:left="1418"/>
    </w:pPr>
    <w:rPr>
      <w:rFonts w:ascii="Arial" w:hAnsi="Arial"/>
      <w:b/>
      <w:sz w:val="36"/>
    </w:rPr>
  </w:style>
  <w:style w:type="character" w:customStyle="1" w:styleId="114">
    <w:name w:val="Document Map Char"/>
    <w:link w:val="30"/>
    <w:semiHidden/>
    <w:qFormat/>
    <w:uiPriority w:val="0"/>
    <w:rPr>
      <w:rFonts w:ascii="Tahoma" w:hAnsi="Tahoma"/>
      <w:shd w:val="clear" w:color="auto" w:fill="000080"/>
      <w:lang w:val="en-GB"/>
    </w:rPr>
  </w:style>
  <w:style w:type="character" w:customStyle="1" w:styleId="115">
    <w:name w:val="Plain Text Char"/>
    <w:link w:val="36"/>
    <w:qFormat/>
    <w:uiPriority w:val="0"/>
    <w:rPr>
      <w:rFonts w:ascii="Courier New" w:hAnsi="Courier New"/>
      <w:lang w:val="nb-NO"/>
    </w:rPr>
  </w:style>
  <w:style w:type="paragraph" w:customStyle="1" w:styleId="116">
    <w:name w:val="TAJ"/>
    <w:basedOn w:val="75"/>
    <w:qFormat/>
    <w:uiPriority w:val="0"/>
  </w:style>
  <w:style w:type="paragraph" w:customStyle="1" w:styleId="117">
    <w:name w:val="Guidance"/>
    <w:basedOn w:val="1"/>
    <w:link w:val="284"/>
    <w:qFormat/>
    <w:uiPriority w:val="0"/>
    <w:rPr>
      <w:i/>
      <w:color w:val="0000FF"/>
    </w:rPr>
  </w:style>
  <w:style w:type="character" w:customStyle="1" w:styleId="118">
    <w:name w:val="Comment Text Char"/>
    <w:link w:val="31"/>
    <w:semiHidden/>
    <w:qFormat/>
    <w:uiPriority w:val="0"/>
    <w:rPr>
      <w:rFonts w:ascii="Times New Roman" w:hAnsi="Times New Roman"/>
      <w:lang w:val="en-GB"/>
    </w:rPr>
  </w:style>
  <w:style w:type="paragraph" w:customStyle="1" w:styleId="119">
    <w:name w:val="表 (緑)  31"/>
    <w:basedOn w:val="1"/>
    <w:qFormat/>
    <w:uiPriority w:val="0"/>
    <w:pPr>
      <w:ind w:left="720"/>
      <w:contextualSpacing/>
    </w:pPr>
    <w:rPr>
      <w:lang w:val="fi-FI"/>
    </w:rPr>
  </w:style>
  <w:style w:type="character" w:customStyle="1" w:styleId="120">
    <w:name w:val="TAL Char"/>
    <w:link w:val="73"/>
    <w:qFormat/>
    <w:uiPriority w:val="0"/>
    <w:rPr>
      <w:rFonts w:ascii="Arial" w:hAnsi="Arial"/>
      <w:sz w:val="18"/>
      <w:lang w:val="en-GB"/>
    </w:rPr>
  </w:style>
  <w:style w:type="character" w:customStyle="1" w:styleId="121">
    <w:name w:val="Comment Subject Char"/>
    <w:link w:val="57"/>
    <w:qFormat/>
    <w:uiPriority w:val="0"/>
    <w:rPr>
      <w:rFonts w:ascii="Times New Roman" w:hAnsi="Times New Roman"/>
      <w:b/>
      <w:bCs/>
      <w:lang w:val="en-GB"/>
    </w:rPr>
  </w:style>
  <w:style w:type="character" w:customStyle="1" w:styleId="122">
    <w:name w:val="Caption Char1"/>
    <w:link w:val="29"/>
    <w:qFormat/>
    <w:uiPriority w:val="0"/>
    <w:rPr>
      <w:rFonts w:ascii="Times New Roman" w:hAnsi="Times New Roman"/>
      <w:b/>
      <w:bCs/>
      <w:lang w:val="en-GB"/>
    </w:rPr>
  </w:style>
  <w:style w:type="character" w:customStyle="1" w:styleId="123">
    <w:name w:val="TH Char"/>
    <w:link w:val="75"/>
    <w:qFormat/>
    <w:uiPriority w:val="0"/>
    <w:rPr>
      <w:rFonts w:ascii="Arial" w:hAnsi="Arial"/>
      <w:b/>
      <w:lang w:val="en-GB"/>
    </w:rPr>
  </w:style>
  <w:style w:type="character" w:customStyle="1" w:styleId="124">
    <w:name w:val="TAC Char"/>
    <w:link w:val="72"/>
    <w:qFormat/>
    <w:uiPriority w:val="0"/>
    <w:rPr>
      <w:rFonts w:ascii="Arial" w:hAnsi="Arial"/>
      <w:sz w:val="18"/>
      <w:lang w:val="en-GB"/>
    </w:rPr>
  </w:style>
  <w:style w:type="character" w:customStyle="1" w:styleId="125">
    <w:name w:val="TAH Car"/>
    <w:link w:val="71"/>
    <w:qFormat/>
    <w:uiPriority w:val="0"/>
    <w:rPr>
      <w:rFonts w:ascii="Arial" w:hAnsi="Arial"/>
      <w:b/>
      <w:sz w:val="18"/>
      <w:lang w:val="en-GB"/>
    </w:rPr>
  </w:style>
  <w:style w:type="character" w:customStyle="1" w:styleId="126">
    <w:name w:val="TAN Char"/>
    <w:link w:val="86"/>
    <w:qFormat/>
    <w:locked/>
    <w:uiPriority w:val="0"/>
    <w:rPr>
      <w:rFonts w:ascii="Arial" w:hAnsi="Arial"/>
      <w:sz w:val="18"/>
      <w:lang w:val="en-GB"/>
    </w:rPr>
  </w:style>
  <w:style w:type="character" w:customStyle="1" w:styleId="127">
    <w:name w:val="Heading 3 Char"/>
    <w:link w:val="4"/>
    <w:qFormat/>
    <w:uiPriority w:val="0"/>
    <w:rPr>
      <w:rFonts w:ascii="Arial" w:hAnsi="Arial"/>
      <w:sz w:val="28"/>
      <w:lang w:val="en-GB"/>
    </w:rPr>
  </w:style>
  <w:style w:type="character" w:customStyle="1" w:styleId="128">
    <w:name w:val="Heading 4 Char"/>
    <w:link w:val="5"/>
    <w:qFormat/>
    <w:uiPriority w:val="0"/>
    <w:rPr>
      <w:rFonts w:ascii="Arial" w:hAnsi="Arial"/>
      <w:sz w:val="24"/>
      <w:lang w:val="en-GB"/>
    </w:rPr>
  </w:style>
  <w:style w:type="character" w:customStyle="1" w:styleId="129">
    <w:name w:val="Heading 5 Char"/>
    <w:link w:val="6"/>
    <w:qFormat/>
    <w:uiPriority w:val="0"/>
    <w:rPr>
      <w:rFonts w:ascii="Arial" w:hAnsi="Arial"/>
      <w:sz w:val="22"/>
      <w:lang w:val="en-GB"/>
    </w:rPr>
  </w:style>
  <w:style w:type="character" w:customStyle="1" w:styleId="130">
    <w:name w:val="Heading 6 Char"/>
    <w:link w:val="7"/>
    <w:qFormat/>
    <w:uiPriority w:val="0"/>
    <w:rPr>
      <w:rFonts w:ascii="Arial" w:hAnsi="Arial"/>
      <w:lang w:val="en-GB"/>
    </w:rPr>
  </w:style>
  <w:style w:type="character" w:customStyle="1" w:styleId="131">
    <w:name w:val="Heading 7 Char"/>
    <w:link w:val="9"/>
    <w:qFormat/>
    <w:uiPriority w:val="0"/>
    <w:rPr>
      <w:rFonts w:ascii="Arial" w:hAnsi="Arial"/>
      <w:lang w:val="en-GB"/>
    </w:rPr>
  </w:style>
  <w:style w:type="character" w:customStyle="1" w:styleId="132">
    <w:name w:val="Heading 8 Char"/>
    <w:link w:val="10"/>
    <w:qFormat/>
    <w:uiPriority w:val="0"/>
    <w:rPr>
      <w:rFonts w:ascii="Arial" w:hAnsi="Arial"/>
      <w:sz w:val="36"/>
      <w:lang w:val="en-GB"/>
    </w:rPr>
  </w:style>
  <w:style w:type="character" w:customStyle="1" w:styleId="133">
    <w:name w:val="Heading 9 Char"/>
    <w:link w:val="11"/>
    <w:qFormat/>
    <w:uiPriority w:val="0"/>
    <w:rPr>
      <w:rFonts w:ascii="Arial" w:hAnsi="Arial"/>
      <w:sz w:val="36"/>
      <w:lang w:val="en-GB"/>
    </w:rPr>
  </w:style>
  <w:style w:type="character" w:customStyle="1" w:styleId="134">
    <w:name w:val="Footnote Text Char"/>
    <w:link w:val="48"/>
    <w:semiHidden/>
    <w:qFormat/>
    <w:uiPriority w:val="0"/>
    <w:rPr>
      <w:rFonts w:ascii="Times New Roman" w:hAnsi="Times New Roman"/>
      <w:sz w:val="16"/>
      <w:lang w:val="en-GB"/>
    </w:rPr>
  </w:style>
  <w:style w:type="character" w:customStyle="1" w:styleId="135">
    <w:name w:val="Footer Char"/>
    <w:link w:val="44"/>
    <w:qFormat/>
    <w:uiPriority w:val="0"/>
    <w:rPr>
      <w:rFonts w:ascii="Arial" w:hAnsi="Arial"/>
      <w:b/>
      <w:i/>
      <w:sz w:val="18"/>
    </w:rPr>
  </w:style>
  <w:style w:type="character" w:customStyle="1" w:styleId="136">
    <w:name w:val="Heading 1 Char1"/>
    <w:qFormat/>
    <w:locked/>
    <w:uiPriority w:val="0"/>
    <w:rPr>
      <w:rFonts w:ascii="Arial" w:hAnsi="Arial"/>
      <w:sz w:val="36"/>
      <w:lang w:val="en-GB"/>
    </w:rPr>
  </w:style>
  <w:style w:type="character" w:customStyle="1" w:styleId="137">
    <w:name w:val="Heading 2 Char1"/>
    <w:semiHidden/>
    <w:qFormat/>
    <w:uiPriority w:val="0"/>
    <w:rPr>
      <w:rFonts w:hint="default" w:ascii="Arial" w:hAnsi="Arial" w:cs="Arial"/>
      <w:sz w:val="32"/>
      <w:lang w:val="en-GB" w:eastAsia="en-US" w:bidi="ar-SA"/>
    </w:rPr>
  </w:style>
  <w:style w:type="character" w:customStyle="1" w:styleId="138">
    <w:name w:val="Heading 3 Char1"/>
    <w:semiHidden/>
    <w:qFormat/>
    <w:uiPriority w:val="0"/>
    <w:rPr>
      <w:rFonts w:hint="default" w:ascii="Arial" w:hAnsi="Arial" w:eastAsia="MS Mincho" w:cs="Arial"/>
      <w:sz w:val="28"/>
      <w:lang w:val="en-GB" w:eastAsia="en-US" w:bidi="ar-SA"/>
    </w:rPr>
  </w:style>
  <w:style w:type="character" w:customStyle="1" w:styleId="139">
    <w:name w:val="Heading 4 Char1"/>
    <w:semiHidden/>
    <w:qFormat/>
    <w:uiPriority w:val="0"/>
    <w:rPr>
      <w:rFonts w:hint="default" w:ascii="Arial" w:hAnsi="Arial" w:eastAsia="MS Mincho" w:cs="Arial"/>
      <w:sz w:val="24"/>
      <w:lang w:val="en-GB" w:eastAsia="en-US" w:bidi="ar-SA"/>
    </w:rPr>
  </w:style>
  <w:style w:type="character" w:customStyle="1" w:styleId="140">
    <w:name w:val="Heading 5 Char1"/>
    <w:semiHidden/>
    <w:qFormat/>
    <w:uiPriority w:val="0"/>
    <w:rPr>
      <w:rFonts w:hint="default" w:ascii="Arial" w:hAnsi="Arial" w:eastAsia="MS Mincho" w:cs="Arial"/>
      <w:sz w:val="22"/>
      <w:lang w:val="en-GB" w:eastAsia="en-US" w:bidi="ar-SA"/>
    </w:rPr>
  </w:style>
  <w:style w:type="character" w:customStyle="1" w:styleId="141">
    <w:name w:val="Footnote Text Char1"/>
    <w:semiHidden/>
    <w:qFormat/>
    <w:uiPriority w:val="0"/>
    <w:rPr>
      <w:rFonts w:ascii="Times New Roman" w:hAnsi="Times New Roman"/>
      <w:lang w:val="en-GB" w:eastAsia="ja-JP"/>
    </w:rPr>
  </w:style>
  <w:style w:type="character" w:customStyle="1" w:styleId="142">
    <w:name w:val="Header Char1"/>
    <w:semiHidden/>
    <w:qFormat/>
    <w:uiPriority w:val="0"/>
    <w:rPr>
      <w:rFonts w:ascii="Times New Roman" w:hAnsi="Times New Roman"/>
      <w:lang w:val="en-GB" w:eastAsia="ja-JP"/>
    </w:rPr>
  </w:style>
  <w:style w:type="character" w:customStyle="1" w:styleId="143">
    <w:name w:val="Endnote Text Char"/>
    <w:link w:val="42"/>
    <w:qFormat/>
    <w:uiPriority w:val="0"/>
    <w:rPr>
      <w:rFonts w:ascii="Times New Roman" w:hAnsi="Times New Roman" w:eastAsia="宋体"/>
      <w:lang w:val="en-GB"/>
    </w:rPr>
  </w:style>
  <w:style w:type="character" w:customStyle="1" w:styleId="144">
    <w:name w:val="Title Char"/>
    <w:link w:val="56"/>
    <w:qFormat/>
    <w:uiPriority w:val="0"/>
    <w:rPr>
      <w:rFonts w:ascii="Courier New" w:hAnsi="Courier New"/>
      <w:lang w:val="nb-NO" w:eastAsia="ja-JP"/>
    </w:rPr>
  </w:style>
  <w:style w:type="character" w:customStyle="1" w:styleId="145">
    <w:name w:val="Body Text Char1"/>
    <w:semiHidden/>
    <w:qFormat/>
    <w:uiPriority w:val="0"/>
    <w:rPr>
      <w:rFonts w:ascii="Times New Roman" w:hAnsi="Times New Roman"/>
      <w:lang w:val="en-GB"/>
    </w:rPr>
  </w:style>
  <w:style w:type="character" w:customStyle="1" w:styleId="146">
    <w:name w:val="Body Text Indent Char"/>
    <w:link w:val="34"/>
    <w:qFormat/>
    <w:uiPriority w:val="0"/>
    <w:rPr>
      <w:rFonts w:ascii="Times New Roman" w:hAnsi="Times New Roman"/>
      <w:kern w:val="2"/>
      <w:sz w:val="21"/>
      <w:lang w:val="en-GB" w:eastAsia="ja-JP"/>
    </w:rPr>
  </w:style>
  <w:style w:type="character" w:customStyle="1" w:styleId="147">
    <w:name w:val="Body Text 2 Char"/>
    <w:link w:val="52"/>
    <w:qFormat/>
    <w:uiPriority w:val="0"/>
    <w:rPr>
      <w:rFonts w:ascii="Times New Roman" w:hAnsi="Times New Roman"/>
      <w:i/>
      <w:lang w:val="en-GB" w:eastAsia="ja-JP"/>
    </w:rPr>
  </w:style>
  <w:style w:type="character" w:customStyle="1" w:styleId="148">
    <w:name w:val="Body Text 3 Char"/>
    <w:link w:val="32"/>
    <w:qFormat/>
    <w:uiPriority w:val="0"/>
    <w:rPr>
      <w:rFonts w:ascii="Times New Roman" w:hAnsi="Times New Roman" w:eastAsia="Osaka"/>
      <w:color w:val="000000"/>
      <w:lang w:val="en-GB" w:eastAsia="ja-JP"/>
    </w:rPr>
  </w:style>
  <w:style w:type="character" w:customStyle="1" w:styleId="149">
    <w:name w:val="Body Text Indent 2 Char"/>
    <w:link w:val="41"/>
    <w:qFormat/>
    <w:uiPriority w:val="0"/>
    <w:rPr>
      <w:rFonts w:ascii="Times New Roman" w:hAnsi="Times New Roman" w:eastAsia="MS Mincho"/>
      <w:lang w:val="en-GB" w:eastAsia="en-GB"/>
    </w:rPr>
  </w:style>
  <w:style w:type="paragraph" w:customStyle="1" w:styleId="150">
    <w:name w:val="表 (緑)  21"/>
    <w:semiHidden/>
    <w:qFormat/>
    <w:uiPriority w:val="0"/>
    <w:rPr>
      <w:rFonts w:ascii="Times New Roman" w:hAnsi="Times New Roman" w:eastAsia="Batang" w:cs="Times New Roman"/>
      <w:lang w:val="en-GB" w:eastAsia="en-US" w:bidi="ar-SA"/>
    </w:rPr>
  </w:style>
  <w:style w:type="character" w:customStyle="1" w:styleId="151">
    <w:name w:val="H6 Char"/>
    <w:link w:val="8"/>
    <w:qFormat/>
    <w:locked/>
    <w:uiPriority w:val="0"/>
    <w:rPr>
      <w:rFonts w:ascii="Arial" w:hAnsi="Arial"/>
      <w:lang w:val="en-GB"/>
    </w:rPr>
  </w:style>
  <w:style w:type="character" w:customStyle="1" w:styleId="152">
    <w:name w:val="NO Char"/>
    <w:link w:val="76"/>
    <w:qFormat/>
    <w:locked/>
    <w:uiPriority w:val="0"/>
    <w:rPr>
      <w:rFonts w:ascii="Times New Roman" w:hAnsi="Times New Roman"/>
      <w:lang w:val="en-GB"/>
    </w:rPr>
  </w:style>
  <w:style w:type="character" w:customStyle="1" w:styleId="153">
    <w:name w:val="TAL Car"/>
    <w:qFormat/>
    <w:locked/>
    <w:uiPriority w:val="0"/>
    <w:rPr>
      <w:rFonts w:ascii="Arial" w:hAnsi="Arial"/>
      <w:sz w:val="18"/>
      <w:lang w:val="en-GB"/>
    </w:rPr>
  </w:style>
  <w:style w:type="character" w:customStyle="1" w:styleId="154">
    <w:name w:val="EX Char"/>
    <w:link w:val="77"/>
    <w:qFormat/>
    <w:locked/>
    <w:uiPriority w:val="0"/>
    <w:rPr>
      <w:rFonts w:ascii="Times New Roman" w:hAnsi="Times New Roman"/>
      <w:lang w:val="en-GB"/>
    </w:rPr>
  </w:style>
  <w:style w:type="character" w:customStyle="1" w:styleId="155">
    <w:name w:val="B1 Char"/>
    <w:link w:val="95"/>
    <w:qFormat/>
    <w:locked/>
    <w:uiPriority w:val="0"/>
    <w:rPr>
      <w:rFonts w:ascii="Times New Roman" w:hAnsi="Times New Roman"/>
      <w:lang w:val="en-GB"/>
    </w:rPr>
  </w:style>
  <w:style w:type="paragraph" w:customStyle="1" w:styleId="156">
    <w:name w:val="TableText"/>
    <w:basedOn w:val="34"/>
    <w:qFormat/>
    <w:uiPriority w:val="0"/>
    <w:pPr>
      <w:keepNext/>
      <w:keepLines/>
      <w:widowControl/>
      <w:ind w:left="0"/>
      <w:jc w:val="center"/>
    </w:pPr>
    <w:rPr>
      <w:sz w:val="20"/>
      <w:lang w:eastAsia="en-US"/>
    </w:rPr>
  </w:style>
  <w:style w:type="character" w:customStyle="1" w:styleId="157">
    <w:name w:val="CR Cover Page Char"/>
    <w:link w:val="158"/>
    <w:qFormat/>
    <w:locked/>
    <w:uiPriority w:val="0"/>
    <w:rPr>
      <w:rFonts w:ascii="Arial" w:hAnsi="Arial" w:cs="Arial"/>
      <w:lang w:val="en-GB" w:eastAsia="en-US" w:bidi="ar-SA"/>
    </w:rPr>
  </w:style>
  <w:style w:type="paragraph" w:customStyle="1" w:styleId="158">
    <w:name w:val="CR Cover Page"/>
    <w:next w:val="1"/>
    <w:link w:val="157"/>
    <w:qFormat/>
    <w:uiPriority w:val="0"/>
    <w:pPr>
      <w:spacing w:after="120"/>
    </w:pPr>
    <w:rPr>
      <w:rFonts w:ascii="Arial" w:hAnsi="Arial" w:eastAsia="MS Mincho" w:cs="Arial"/>
      <w:lang w:val="en-GB" w:eastAsia="en-US" w:bidi="ar-SA"/>
    </w:rPr>
  </w:style>
  <w:style w:type="paragraph" w:customStyle="1" w:styleId="159">
    <w:name w:val="Figure"/>
    <w:basedOn w:val="1"/>
    <w:qFormat/>
    <w:uiPriority w:val="0"/>
    <w:pPr>
      <w:numPr>
        <w:ilvl w:val="0"/>
        <w:numId w:val="3"/>
      </w:numPr>
      <w:spacing w:before="180" w:after="240" w:line="280" w:lineRule="atLeast"/>
      <w:jc w:val="center"/>
    </w:pPr>
    <w:rPr>
      <w:rFonts w:ascii="Arial" w:hAnsi="Arial"/>
      <w:b/>
      <w:lang w:eastAsia="ja-JP"/>
    </w:rPr>
  </w:style>
  <w:style w:type="paragraph" w:customStyle="1" w:styleId="160">
    <w:name w:val="tdoc-header"/>
    <w:qFormat/>
    <w:uiPriority w:val="0"/>
    <w:rPr>
      <w:rFonts w:ascii="Arial" w:hAnsi="Arial" w:eastAsia="MS Mincho" w:cs="Times New Roman"/>
      <w:sz w:val="24"/>
      <w:lang w:val="en-GB" w:eastAsia="en-US" w:bidi="ar-SA"/>
    </w:rPr>
  </w:style>
  <w:style w:type="paragraph" w:customStyle="1" w:styleId="161">
    <w:name w:val="MTDisplayEquation"/>
    <w:basedOn w:val="1"/>
    <w:qFormat/>
    <w:uiPriority w:val="0"/>
    <w:pPr>
      <w:tabs>
        <w:tab w:val="center" w:pos="4820"/>
        <w:tab w:val="right" w:pos="9640"/>
      </w:tabs>
    </w:pPr>
    <w:rPr>
      <w:lang w:eastAsia="ja-JP"/>
    </w:rPr>
  </w:style>
  <w:style w:type="paragraph" w:customStyle="1" w:styleId="162">
    <w:name w:val="Char Char Char Char Char"/>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63">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4">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5">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6">
    <w:name w:val="Data1"/>
    <w:basedOn w:val="1"/>
    <w:qFormat/>
    <w:uiPriority w:val="0"/>
    <w:pPr>
      <w:tabs>
        <w:tab w:val="left" w:pos="1418"/>
      </w:tabs>
      <w:spacing w:after="120"/>
    </w:pPr>
    <w:rPr>
      <w:rFonts w:ascii="Arial" w:hAnsi="Arial"/>
      <w:lang w:val="fr-FR"/>
    </w:rPr>
  </w:style>
  <w:style w:type="paragraph" w:customStyle="1" w:styleId="167">
    <w:name w:val="p20"/>
    <w:basedOn w:val="1"/>
    <w:qFormat/>
    <w:uiPriority w:val="0"/>
    <w:pPr>
      <w:snapToGrid w:val="0"/>
    </w:pPr>
    <w:rPr>
      <w:rFonts w:ascii="Arial" w:hAnsi="Arial" w:eastAsia="宋体" w:cs="Arial"/>
      <w:sz w:val="18"/>
      <w:szCs w:val="18"/>
    </w:rPr>
  </w:style>
  <w:style w:type="paragraph" w:customStyle="1" w:styleId="168">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9">
    <w:name w:val="ATC"/>
    <w:basedOn w:val="1"/>
    <w:qFormat/>
    <w:uiPriority w:val="0"/>
    <w:rPr>
      <w:lang w:eastAsia="ja-JP"/>
    </w:rPr>
  </w:style>
  <w:style w:type="paragraph" w:customStyle="1" w:styleId="170">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1">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2">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3">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4">
    <w:name w:val="xl40"/>
    <w:basedOn w:val="1"/>
    <w:qFormat/>
    <w:uiPriority w:val="0"/>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75">
    <w:name w:val="样式 样式 标题 1 + 两端对齐 段前: 0.3 行 段后: 0.3 行 行距: 单倍行距 + 段前: 0.2 行 段后: ..."/>
    <w:basedOn w:val="1"/>
    <w:qFormat/>
    <w:uiPriority w:val="0"/>
    <w:pPr>
      <w:keepNext/>
      <w:numPr>
        <w:ilvl w:val="0"/>
        <w:numId w:val="5"/>
      </w:numPr>
      <w:spacing w:beforeLines="20" w:afterLines="10"/>
      <w:ind w:right="284"/>
      <w:jc w:val="both"/>
      <w:outlineLvl w:val="0"/>
    </w:pPr>
    <w:rPr>
      <w:rFonts w:ascii="Arial" w:hAnsi="Arial" w:eastAsia="宋体" w:cs="宋体"/>
      <w:b/>
      <w:bCs/>
      <w:sz w:val="28"/>
    </w:rPr>
  </w:style>
  <w:style w:type="paragraph" w:customStyle="1" w:styleId="176">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Char Char2 Char Char"/>
    <w:basedOn w:val="1"/>
    <w:qFormat/>
    <w:uiPriority w:val="0"/>
    <w:pPr>
      <w:tabs>
        <w:tab w:val="left" w:pos="540"/>
        <w:tab w:val="left" w:pos="1260"/>
        <w:tab w:val="left" w:pos="1800"/>
      </w:tabs>
      <w:spacing w:before="240" w:after="160" w:line="240" w:lineRule="exact"/>
    </w:pPr>
    <w:rPr>
      <w:rFonts w:ascii="Verdana" w:hAnsi="Verdana" w:eastAsia="Batang"/>
    </w:rPr>
  </w:style>
  <w:style w:type="character" w:customStyle="1" w:styleId="178">
    <w:name w:val="样式1 Char"/>
    <w:link w:val="179"/>
    <w:qFormat/>
    <w:locked/>
    <w:uiPriority w:val="0"/>
    <w:rPr>
      <w:rFonts w:ascii="Arial" w:hAnsi="Arial" w:eastAsia="Times New Roman"/>
      <w:sz w:val="18"/>
      <w:szCs w:val="24"/>
      <w:lang w:eastAsia="zh-CN"/>
    </w:rPr>
  </w:style>
  <w:style w:type="paragraph" w:customStyle="1" w:styleId="179">
    <w:name w:val="样式1"/>
    <w:basedOn w:val="86"/>
    <w:link w:val="178"/>
    <w:qFormat/>
    <w:uiPriority w:val="0"/>
    <w:pPr>
      <w:numPr>
        <w:ilvl w:val="0"/>
        <w:numId w:val="6"/>
      </w:numPr>
    </w:pPr>
  </w:style>
  <w:style w:type="paragraph" w:customStyle="1" w:styleId="180">
    <w:name w:val="Separation"/>
    <w:basedOn w:val="2"/>
    <w:next w:val="1"/>
    <w:qFormat/>
    <w:uiPriority w:val="0"/>
    <w:pPr>
      <w:pBdr>
        <w:top w:val="none" w:color="auto" w:sz="0" w:space="0"/>
      </w:pBdr>
      <w:overflowPunct/>
      <w:autoSpaceDE/>
      <w:autoSpaceDN/>
      <w:adjustRightInd/>
      <w:textAlignment w:val="auto"/>
    </w:pPr>
    <w:rPr>
      <w:b/>
      <w:color w:val="0000FF"/>
    </w:rPr>
  </w:style>
  <w:style w:type="paragraph" w:customStyle="1" w:styleId="181">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82">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5">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6">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7">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8">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9">
    <w:name w:val="Bullet"/>
    <w:basedOn w:val="1"/>
    <w:qFormat/>
    <w:uiPriority w:val="0"/>
    <w:pPr>
      <w:numPr>
        <w:ilvl w:val="0"/>
        <w:numId w:val="7"/>
      </w:numPr>
    </w:pPr>
    <w:rPr>
      <w:rFonts w:eastAsia="Batang"/>
    </w:rPr>
  </w:style>
  <w:style w:type="paragraph" w:customStyle="1" w:styleId="190">
    <w:name w:val="Style Heading 6 + Left:  0 cm Hanging:  3.49 cm After:  9 pt"/>
    <w:basedOn w:val="7"/>
    <w:qFormat/>
    <w:uiPriority w:val="0"/>
    <w:pPr>
      <w:keepNext w:val="0"/>
      <w:keepLines w:val="0"/>
      <w:overflowPunct/>
      <w:autoSpaceDE/>
      <w:autoSpaceDN/>
      <w:adjustRightInd/>
      <w:spacing w:before="240"/>
      <w:ind w:left="1980" w:hanging="1980"/>
      <w:textAlignment w:val="auto"/>
    </w:pPr>
    <w:rPr>
      <w:bCs/>
    </w:rPr>
  </w:style>
  <w:style w:type="paragraph" w:customStyle="1" w:styleId="191">
    <w:name w:val="Style Heading 6 + After:  9 pt"/>
    <w:basedOn w:val="7"/>
    <w:qFormat/>
    <w:uiPriority w:val="0"/>
    <w:pPr>
      <w:keepNext w:val="0"/>
      <w:keepLines w:val="0"/>
      <w:overflowPunct/>
      <w:autoSpaceDE/>
      <w:autoSpaceDN/>
      <w:adjustRightInd/>
      <w:spacing w:before="240"/>
      <w:ind w:left="0" w:firstLine="0"/>
      <w:textAlignment w:val="auto"/>
    </w:pPr>
    <w:rPr>
      <w:bCs/>
    </w:rPr>
  </w:style>
  <w:style w:type="paragraph" w:customStyle="1" w:styleId="192">
    <w:name w:val="吹き出し3"/>
    <w:basedOn w:val="1"/>
    <w:semiHidden/>
    <w:qFormat/>
    <w:uiPriority w:val="0"/>
    <w:rPr>
      <w:rFonts w:ascii="Tahoma" w:hAnsi="Tahoma" w:cs="Tahoma"/>
      <w:sz w:val="16"/>
      <w:szCs w:val="16"/>
    </w:rPr>
  </w:style>
  <w:style w:type="paragraph" w:customStyle="1" w:styleId="193">
    <w:name w:val="JK - text - simple doc"/>
    <w:basedOn w:val="33"/>
    <w:qFormat/>
    <w:uiPriority w:val="0"/>
    <w:pPr>
      <w:numPr>
        <w:ilvl w:val="0"/>
        <w:numId w:val="8"/>
      </w:numPr>
      <w:tabs>
        <w:tab w:val="left" w:pos="1097"/>
      </w:tabs>
      <w:spacing w:after="120" w:line="288" w:lineRule="auto"/>
      <w:ind w:left="1097" w:hanging="360"/>
    </w:pPr>
    <w:rPr>
      <w:rFonts w:ascii="Arial" w:hAnsi="Arial" w:eastAsia="宋体" w:cs="Arial"/>
    </w:rPr>
  </w:style>
  <w:style w:type="paragraph" w:customStyle="1" w:styleId="194">
    <w:name w:val="b1"/>
    <w:basedOn w:val="1"/>
    <w:qFormat/>
    <w:uiPriority w:val="0"/>
    <w:pPr>
      <w:spacing w:before="100" w:beforeAutospacing="1" w:after="100" w:afterAutospacing="1"/>
    </w:pPr>
  </w:style>
  <w:style w:type="paragraph" w:customStyle="1" w:styleId="195">
    <w:name w:val="吹き出し1"/>
    <w:basedOn w:val="1"/>
    <w:semiHidden/>
    <w:qFormat/>
    <w:uiPriority w:val="0"/>
    <w:rPr>
      <w:rFonts w:ascii="Tahoma" w:hAnsi="Tahoma" w:cs="Tahoma"/>
      <w:sz w:val="16"/>
      <w:szCs w:val="16"/>
    </w:rPr>
  </w:style>
  <w:style w:type="paragraph" w:customStyle="1" w:styleId="196">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7">
    <w:name w:val="吹き出し2"/>
    <w:basedOn w:val="1"/>
    <w:semiHidden/>
    <w:qFormat/>
    <w:uiPriority w:val="0"/>
    <w:rPr>
      <w:rFonts w:ascii="Tahoma" w:hAnsi="Tahoma" w:cs="Tahoma"/>
      <w:sz w:val="16"/>
      <w:szCs w:val="16"/>
    </w:rPr>
  </w:style>
  <w:style w:type="paragraph" w:customStyle="1" w:styleId="198">
    <w:name w:val="Note"/>
    <w:basedOn w:val="95"/>
    <w:qFormat/>
    <w:uiPriority w:val="0"/>
    <w:rPr>
      <w:rFonts w:ascii="CG Times (WN)" w:hAnsi="CG Times (WN)"/>
      <w:lang w:eastAsia="en-GB"/>
    </w:rPr>
  </w:style>
  <w:style w:type="paragraph" w:customStyle="1" w:styleId="199">
    <w:name w:val="table text"/>
    <w:basedOn w:val="1"/>
    <w:next w:val="1"/>
    <w:qFormat/>
    <w:uiPriority w:val="0"/>
    <w:rPr>
      <w:i/>
      <w:lang w:eastAsia="en-GB"/>
    </w:rPr>
  </w:style>
  <w:style w:type="paragraph" w:customStyle="1" w:styleId="200">
    <w:name w:val="TOC 91"/>
    <w:basedOn w:val="39"/>
    <w:qFormat/>
    <w:uiPriority w:val="0"/>
    <w:pPr>
      <w:ind w:left="1418" w:hanging="1418"/>
      <w:textAlignment w:val="auto"/>
    </w:pPr>
    <w:rPr>
      <w:lang w:val="en-GB" w:eastAsia="en-GB"/>
    </w:rPr>
  </w:style>
  <w:style w:type="paragraph" w:customStyle="1" w:styleId="201">
    <w:name w:val="Caption1"/>
    <w:basedOn w:val="1"/>
    <w:next w:val="1"/>
    <w:qFormat/>
    <w:uiPriority w:val="0"/>
    <w:pPr>
      <w:spacing w:before="120" w:after="120"/>
    </w:pPr>
    <w:rPr>
      <w:b/>
      <w:lang w:eastAsia="en-GB"/>
    </w:rPr>
  </w:style>
  <w:style w:type="paragraph" w:customStyle="1" w:styleId="202">
    <w:name w:val="HE"/>
    <w:basedOn w:val="1"/>
    <w:qFormat/>
    <w:uiPriority w:val="0"/>
    <w:rPr>
      <w:b/>
      <w:lang w:eastAsia="en-GB"/>
    </w:rPr>
  </w:style>
  <w:style w:type="paragraph" w:customStyle="1" w:styleId="203">
    <w:name w:val="HO"/>
    <w:basedOn w:val="1"/>
    <w:qFormat/>
    <w:uiPriority w:val="0"/>
    <w:pPr>
      <w:jc w:val="right"/>
    </w:pPr>
    <w:rPr>
      <w:b/>
      <w:lang w:eastAsia="en-GB"/>
    </w:rPr>
  </w:style>
  <w:style w:type="paragraph" w:customStyle="1" w:styleId="204">
    <w:name w:val="WP"/>
    <w:basedOn w:val="1"/>
    <w:qFormat/>
    <w:uiPriority w:val="0"/>
    <w:pPr>
      <w:jc w:val="both"/>
    </w:pPr>
    <w:rPr>
      <w:lang w:eastAsia="en-GB"/>
    </w:rPr>
  </w:style>
  <w:style w:type="paragraph" w:customStyle="1" w:styleId="205">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06">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07">
    <w:name w:val="FooterCentred"/>
    <w:basedOn w:val="44"/>
    <w:qFormat/>
    <w:uiPriority w:val="0"/>
    <w:pPr>
      <w:tabs>
        <w:tab w:val="center" w:pos="4678"/>
        <w:tab w:val="right" w:pos="9356"/>
      </w:tabs>
      <w:jc w:val="both"/>
      <w:textAlignment w:val="auto"/>
    </w:pPr>
    <w:rPr>
      <w:rFonts w:ascii="Times New Roman" w:hAnsi="Times New Roman" w:cs="Arial"/>
      <w:b w:val="0"/>
      <w:i w:val="0"/>
      <w:sz w:val="20"/>
      <w:lang w:val="en-GB" w:eastAsia="en-GB"/>
    </w:rPr>
  </w:style>
  <w:style w:type="paragraph" w:customStyle="1" w:styleId="208">
    <w:name w:val="CR_front"/>
    <w:basedOn w:val="1"/>
    <w:qFormat/>
    <w:uiPriority w:val="0"/>
    <w:rPr>
      <w:lang w:eastAsia="en-GB"/>
    </w:rPr>
  </w:style>
  <w:style w:type="paragraph" w:customStyle="1" w:styleId="209">
    <w:name w:val="Para1"/>
    <w:basedOn w:val="1"/>
    <w:qFormat/>
    <w:uiPriority w:val="0"/>
    <w:pPr>
      <w:spacing w:before="120" w:after="120"/>
    </w:pPr>
    <w:rPr>
      <w:lang w:eastAsia="en-GB"/>
    </w:rPr>
  </w:style>
  <w:style w:type="paragraph" w:customStyle="1" w:styleId="210">
    <w:name w:val="Test step"/>
    <w:basedOn w:val="1"/>
    <w:qFormat/>
    <w:uiPriority w:val="0"/>
    <w:pPr>
      <w:tabs>
        <w:tab w:val="left" w:pos="720"/>
      </w:tabs>
      <w:ind w:left="720" w:hanging="720"/>
    </w:pPr>
    <w:rPr>
      <w:lang w:eastAsia="en-GB"/>
    </w:rPr>
  </w:style>
  <w:style w:type="paragraph" w:customStyle="1" w:styleId="211">
    <w:name w:val="TableTitle"/>
    <w:basedOn w:val="52"/>
    <w:next w:val="52"/>
    <w:qFormat/>
    <w:uiPriority w:val="0"/>
    <w:pPr>
      <w:keepNext/>
      <w:keepLines/>
      <w:spacing w:after="60"/>
      <w:ind w:left="210"/>
      <w:jc w:val="center"/>
    </w:pPr>
    <w:rPr>
      <w:b/>
      <w:i w:val="0"/>
      <w:lang w:eastAsia="en-GB"/>
    </w:rPr>
  </w:style>
  <w:style w:type="paragraph" w:customStyle="1" w:styleId="212">
    <w:name w:val="Table of Figures1"/>
    <w:basedOn w:val="1"/>
    <w:next w:val="1"/>
    <w:qFormat/>
    <w:uiPriority w:val="0"/>
    <w:pPr>
      <w:ind w:left="400" w:hanging="400"/>
      <w:jc w:val="center"/>
    </w:pPr>
    <w:rPr>
      <w:b/>
      <w:lang w:eastAsia="en-GB"/>
    </w:rPr>
  </w:style>
  <w:style w:type="paragraph" w:customStyle="1" w:styleId="213">
    <w:name w:val="table"/>
    <w:basedOn w:val="1"/>
    <w:next w:val="1"/>
    <w:qFormat/>
    <w:uiPriority w:val="0"/>
    <w:pPr>
      <w:jc w:val="center"/>
    </w:pPr>
    <w:rPr>
      <w:lang w:eastAsia="en-GB"/>
    </w:rPr>
  </w:style>
  <w:style w:type="paragraph" w:customStyle="1" w:styleId="214">
    <w:name w:val="t2"/>
    <w:basedOn w:val="1"/>
    <w:qFormat/>
    <w:uiPriority w:val="0"/>
    <w:rPr>
      <w:lang w:eastAsia="en-GB"/>
    </w:rPr>
  </w:style>
  <w:style w:type="paragraph" w:customStyle="1" w:styleId="215">
    <w:name w:val="Comment Nokia"/>
    <w:basedOn w:val="1"/>
    <w:qFormat/>
    <w:uiPriority w:val="0"/>
    <w:pPr>
      <w:tabs>
        <w:tab w:val="left" w:pos="360"/>
      </w:tabs>
      <w:ind w:left="360" w:hanging="360"/>
    </w:pPr>
    <w:rPr>
      <w:sz w:val="22"/>
      <w:lang w:eastAsia="en-GB"/>
    </w:rPr>
  </w:style>
  <w:style w:type="paragraph" w:customStyle="1" w:styleId="216">
    <w:name w:val="Copyright"/>
    <w:basedOn w:val="1"/>
    <w:qFormat/>
    <w:uiPriority w:val="0"/>
    <w:pPr>
      <w:jc w:val="center"/>
    </w:pPr>
    <w:rPr>
      <w:rFonts w:ascii="Arial" w:hAnsi="Arial"/>
      <w:b/>
      <w:sz w:val="16"/>
      <w:lang w:eastAsia="ja-JP"/>
    </w:rPr>
  </w:style>
  <w:style w:type="paragraph" w:customStyle="1" w:styleId="217">
    <w:name w:val="Tdoc_table"/>
    <w:qFormat/>
    <w:uiPriority w:val="0"/>
    <w:pPr>
      <w:ind w:left="244" w:hanging="244"/>
    </w:pPr>
    <w:rPr>
      <w:rFonts w:ascii="Arial" w:hAnsi="Arial" w:eastAsia="宋体" w:cs="Times New Roman"/>
      <w:color w:val="000000"/>
      <w:lang w:val="en-GB" w:eastAsia="en-US" w:bidi="ar-SA"/>
    </w:rPr>
  </w:style>
  <w:style w:type="paragraph" w:customStyle="1" w:styleId="218">
    <w:name w:val="Heading 2.Head2A.2"/>
    <w:basedOn w:val="2"/>
    <w:next w:val="1"/>
    <w:qFormat/>
    <w:uiPriority w:val="0"/>
    <w:pPr>
      <w:pBdr>
        <w:top w:val="none" w:color="auto" w:sz="0" w:space="0"/>
      </w:pBdr>
      <w:spacing w:before="180"/>
      <w:textAlignment w:val="auto"/>
      <w:outlineLvl w:val="1"/>
    </w:pPr>
    <w:rPr>
      <w:rFonts w:eastAsia="宋体"/>
      <w:sz w:val="32"/>
      <w:lang w:eastAsia="es-ES"/>
    </w:rPr>
  </w:style>
  <w:style w:type="paragraph" w:customStyle="1" w:styleId="219">
    <w:name w:val="Title Text"/>
    <w:basedOn w:val="1"/>
    <w:next w:val="1"/>
    <w:qFormat/>
    <w:uiPriority w:val="0"/>
    <w:pPr>
      <w:spacing w:after="220"/>
    </w:pPr>
    <w:rPr>
      <w:b/>
      <w:lang w:eastAsia="en-GB"/>
    </w:rPr>
  </w:style>
  <w:style w:type="paragraph" w:customStyle="1" w:styleId="220">
    <w:name w:val="Überschrift 2.Head2A.2"/>
    <w:basedOn w:val="2"/>
    <w:next w:val="1"/>
    <w:qFormat/>
    <w:uiPriority w:val="0"/>
    <w:pPr>
      <w:pBdr>
        <w:top w:val="none" w:color="auto" w:sz="0" w:space="0"/>
      </w:pBdr>
      <w:overflowPunct/>
      <w:autoSpaceDE/>
      <w:autoSpaceDN/>
      <w:adjustRightInd/>
      <w:spacing w:before="180"/>
      <w:textAlignment w:val="auto"/>
      <w:outlineLvl w:val="1"/>
    </w:pPr>
    <w:rPr>
      <w:sz w:val="32"/>
      <w:lang w:eastAsia="de-DE"/>
    </w:rPr>
  </w:style>
  <w:style w:type="paragraph" w:customStyle="1" w:styleId="221">
    <w:name w:val="Überschrift 3.h3.H3.Underrubrik2"/>
    <w:basedOn w:val="3"/>
    <w:next w:val="1"/>
    <w:qFormat/>
    <w:uiPriority w:val="0"/>
    <w:pPr>
      <w:overflowPunct/>
      <w:autoSpaceDE/>
      <w:autoSpaceDN/>
      <w:adjustRightInd/>
      <w:spacing w:before="120"/>
      <w:textAlignment w:val="auto"/>
      <w:outlineLvl w:val="2"/>
    </w:pPr>
    <w:rPr>
      <w:sz w:val="28"/>
      <w:lang w:eastAsia="de-DE"/>
    </w:rPr>
  </w:style>
  <w:style w:type="paragraph" w:customStyle="1" w:styleId="222">
    <w:name w:val="Reference"/>
    <w:basedOn w:val="1"/>
    <w:qFormat/>
    <w:uiPriority w:val="0"/>
    <w:pPr>
      <w:ind w:left="567" w:hanging="283"/>
    </w:pPr>
    <w:rPr>
      <w:lang w:eastAsia="en-GB"/>
    </w:rPr>
  </w:style>
  <w:style w:type="paragraph" w:customStyle="1" w:styleId="223">
    <w:name w:val="Bullets"/>
    <w:basedOn w:val="33"/>
    <w:qFormat/>
    <w:uiPriority w:val="0"/>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224">
    <w:name w:val="11 BodyText"/>
    <w:basedOn w:val="1"/>
    <w:qFormat/>
    <w:uiPriority w:val="0"/>
    <w:pPr>
      <w:spacing w:after="220"/>
      <w:ind w:left="1298"/>
    </w:pPr>
    <w:rPr>
      <w:rFonts w:ascii="Arial" w:hAnsi="Arial" w:eastAsia="宋体"/>
      <w:lang w:eastAsia="en-GB"/>
    </w:rPr>
  </w:style>
  <w:style w:type="paragraph" w:customStyle="1" w:styleId="225">
    <w:name w:val="修订1"/>
    <w:semiHidden/>
    <w:qFormat/>
    <w:uiPriority w:val="0"/>
    <w:rPr>
      <w:rFonts w:ascii="Times New Roman" w:hAnsi="Times New Roman" w:eastAsia="Batang" w:cs="Times New Roman"/>
      <w:lang w:val="en-GB" w:eastAsia="en-US" w:bidi="ar-SA"/>
    </w:rPr>
  </w:style>
  <w:style w:type="character" w:customStyle="1" w:styleId="226">
    <w:name w:val="msoins"/>
    <w:qFormat/>
    <w:uiPriority w:val="0"/>
  </w:style>
  <w:style w:type="character" w:customStyle="1" w:styleId="227">
    <w:name w:val="Char Char1"/>
    <w:qFormat/>
    <w:uiPriority w:val="0"/>
    <w:rPr>
      <w:lang w:val="en-GB" w:eastAsia="ja-JP" w:bidi="ar-SA"/>
    </w:rPr>
  </w:style>
  <w:style w:type="character" w:customStyle="1" w:styleId="228">
    <w:name w:val="bt Char1"/>
    <w:qFormat/>
    <w:uiPriority w:val="0"/>
    <w:rPr>
      <w:lang w:val="en-GB" w:eastAsia="ja-JP" w:bidi="ar-SA"/>
    </w:rPr>
  </w:style>
  <w:style w:type="character" w:customStyle="1" w:styleId="229">
    <w:name w:val="cap Char Char2"/>
    <w:qFormat/>
    <w:uiPriority w:val="0"/>
    <w:rPr>
      <w:b/>
      <w:lang w:val="en-GB" w:eastAsia="en-GB" w:bidi="ar-SA"/>
    </w:rPr>
  </w:style>
  <w:style w:type="character" w:customStyle="1" w:styleId="230">
    <w:name w:val="bt Char2"/>
    <w:qFormat/>
    <w:uiPriority w:val="0"/>
    <w:rPr>
      <w:lang w:val="en-GB" w:eastAsia="ja-JP" w:bidi="ar-SA"/>
    </w:rPr>
  </w:style>
  <w:style w:type="character" w:customStyle="1" w:styleId="231">
    <w:name w:val="Head2A Char4"/>
    <w:qFormat/>
    <w:uiPriority w:val="0"/>
    <w:rPr>
      <w:rFonts w:hint="default" w:ascii="Arial" w:hAnsi="Arial" w:cs="Arial"/>
      <w:sz w:val="32"/>
      <w:lang w:val="en-GB" w:eastAsia="ja-JP" w:bidi="ar-SA"/>
    </w:rPr>
  </w:style>
  <w:style w:type="character" w:customStyle="1" w:styleId="232">
    <w:name w:val="Char Char4"/>
    <w:qFormat/>
    <w:uiPriority w:val="0"/>
    <w:rPr>
      <w:rFonts w:hint="default" w:ascii="Courier New" w:hAnsi="Courier New" w:cs="Courier New"/>
      <w:lang w:val="nb-NO" w:eastAsia="ja-JP" w:bidi="ar-SA"/>
    </w:rPr>
  </w:style>
  <w:style w:type="character" w:customStyle="1" w:styleId="233">
    <w:name w:val="Andrea Leonardi"/>
    <w:semiHidden/>
    <w:qFormat/>
    <w:uiPriority w:val="0"/>
    <w:rPr>
      <w:rFonts w:hint="default" w:ascii="Arial" w:hAnsi="Arial" w:cs="Arial"/>
      <w:color w:val="auto"/>
      <w:sz w:val="20"/>
      <w:szCs w:val="20"/>
    </w:rPr>
  </w:style>
  <w:style w:type="character" w:customStyle="1" w:styleId="234">
    <w:name w:val="NO Char Char"/>
    <w:qFormat/>
    <w:uiPriority w:val="0"/>
    <w:rPr>
      <w:lang w:val="en-GB" w:eastAsia="en-US" w:bidi="ar-SA"/>
    </w:rPr>
  </w:style>
  <w:style w:type="character" w:customStyle="1" w:styleId="235">
    <w:name w:val="NO Zchn"/>
    <w:qFormat/>
    <w:uiPriority w:val="0"/>
    <w:rPr>
      <w:lang w:val="en-GB" w:eastAsia="en-US" w:bidi="ar-SA"/>
    </w:rPr>
  </w:style>
  <w:style w:type="character" w:customStyle="1" w:styleId="236">
    <w:name w:val="TAC Car"/>
    <w:qFormat/>
    <w:uiPriority w:val="0"/>
    <w:rPr>
      <w:rFonts w:hint="default" w:ascii="Arial" w:hAnsi="Arial" w:cs="Arial"/>
      <w:sz w:val="18"/>
      <w:lang w:val="en-GB" w:eastAsia="ja-JP" w:bidi="ar-SA"/>
    </w:rPr>
  </w:style>
  <w:style w:type="character" w:customStyle="1" w:styleId="237">
    <w:name w:val="TAL (文字)"/>
    <w:qFormat/>
    <w:uiPriority w:val="0"/>
    <w:rPr>
      <w:rFonts w:hint="default" w:ascii="Arial" w:hAnsi="Arial" w:cs="Arial"/>
      <w:sz w:val="18"/>
      <w:lang w:val="en-GB" w:eastAsia="ja-JP" w:bidi="ar-SA"/>
    </w:rPr>
  </w:style>
  <w:style w:type="character" w:customStyle="1" w:styleId="238">
    <w:name w:val="T1 Char"/>
    <w:qFormat/>
    <w:uiPriority w:val="0"/>
  </w:style>
  <w:style w:type="character" w:customStyle="1" w:styleId="239">
    <w:name w:val="T1 Char1"/>
    <w:qFormat/>
    <w:uiPriority w:val="0"/>
  </w:style>
  <w:style w:type="character" w:customStyle="1" w:styleId="240">
    <w:name w:val="NMP Heading 1 Char1"/>
    <w:qFormat/>
    <w:uiPriority w:val="0"/>
    <w:rPr>
      <w:rFonts w:hint="default" w:ascii="Arial" w:hAnsi="Arial" w:cs="Arial"/>
      <w:sz w:val="36"/>
      <w:lang w:val="en-GB" w:eastAsia="en-US" w:bidi="ar-SA"/>
    </w:rPr>
  </w:style>
  <w:style w:type="character" w:customStyle="1" w:styleId="241">
    <w:name w:val="Head2A Char2"/>
    <w:qFormat/>
    <w:uiPriority w:val="0"/>
    <w:rPr>
      <w:rFonts w:hint="default" w:ascii="Arial" w:hAnsi="Arial" w:cs="Arial"/>
      <w:sz w:val="32"/>
      <w:lang w:val="en-GB" w:eastAsia="en-US" w:bidi="ar-SA"/>
    </w:rPr>
  </w:style>
  <w:style w:type="character" w:customStyle="1" w:styleId="242">
    <w:name w:val="Head2A Char3"/>
    <w:qFormat/>
    <w:uiPriority w:val="0"/>
    <w:rPr>
      <w:rFonts w:hint="default" w:ascii="Arial" w:hAnsi="Arial" w:cs="Arial"/>
      <w:sz w:val="32"/>
      <w:lang w:val="en-GB" w:eastAsia="en-US" w:bidi="ar-SA"/>
    </w:rPr>
  </w:style>
  <w:style w:type="character" w:customStyle="1" w:styleId="243">
    <w:name w:val="h4 Char1"/>
    <w:qFormat/>
    <w:uiPriority w:val="0"/>
    <w:rPr>
      <w:rFonts w:hint="default" w:ascii="Arial" w:hAnsi="Arial" w:eastAsia="MS Mincho" w:cs="Arial"/>
      <w:sz w:val="24"/>
      <w:lang w:val="en-GB" w:eastAsia="en-US" w:bidi="ar-SA"/>
    </w:rPr>
  </w:style>
  <w:style w:type="character" w:customStyle="1" w:styleId="244">
    <w:name w:val="h5 Char1"/>
    <w:qFormat/>
    <w:uiPriority w:val="0"/>
    <w:rPr>
      <w:rFonts w:hint="default" w:ascii="Arial" w:hAnsi="Arial" w:eastAsia="MS Mincho" w:cs="Arial"/>
      <w:sz w:val="22"/>
      <w:lang w:val="en-GB" w:eastAsia="en-US" w:bidi="ar-SA"/>
    </w:rPr>
  </w:style>
  <w:style w:type="character" w:customStyle="1" w:styleId="245">
    <w:name w:val="Underrubrik2 Char1"/>
    <w:qFormat/>
    <w:locked/>
    <w:uiPriority w:val="0"/>
    <w:rPr>
      <w:rFonts w:hint="default" w:ascii="Arial" w:hAnsi="Arial" w:eastAsia="Batang" w:cs="Times New Roman"/>
      <w:b/>
      <w:bCs/>
      <w:i/>
      <w:iCs/>
      <w:sz w:val="28"/>
      <w:szCs w:val="28"/>
      <w:lang w:val="en-GB" w:eastAsia="en-US" w:bidi="ar-SA"/>
    </w:rPr>
  </w:style>
  <w:style w:type="character" w:customStyle="1" w:styleId="246">
    <w:name w:val="T1 Char2"/>
    <w:qFormat/>
    <w:uiPriority w:val="0"/>
  </w:style>
  <w:style w:type="character" w:customStyle="1" w:styleId="247">
    <w:name w:val="Char Char7"/>
    <w:semiHidden/>
    <w:qFormat/>
    <w:uiPriority w:val="0"/>
    <w:rPr>
      <w:rFonts w:hint="default" w:ascii="Tahoma" w:hAnsi="Tahoma" w:cs="Tahoma"/>
      <w:shd w:val="clear" w:color="auto" w:fill="000080"/>
      <w:lang w:val="en-GB" w:eastAsia="en-US"/>
    </w:rPr>
  </w:style>
  <w:style w:type="character" w:customStyle="1" w:styleId="248">
    <w:name w:val="Zchn Zchn5"/>
    <w:qFormat/>
    <w:uiPriority w:val="0"/>
    <w:rPr>
      <w:rFonts w:hint="default" w:ascii="Courier New" w:hAnsi="Courier New" w:eastAsia="Batang" w:cs="Courier New"/>
      <w:lang w:val="nb-NO" w:eastAsia="en-US" w:bidi="ar-SA"/>
    </w:rPr>
  </w:style>
  <w:style w:type="character" w:customStyle="1" w:styleId="249">
    <w:name w:val="Char Char10"/>
    <w:semiHidden/>
    <w:qFormat/>
    <w:uiPriority w:val="0"/>
    <w:rPr>
      <w:rFonts w:hint="default" w:ascii="Times New Roman" w:hAnsi="Times New Roman" w:cs="Times New Roman"/>
      <w:lang w:val="en-GB" w:eastAsia="en-US"/>
    </w:rPr>
  </w:style>
  <w:style w:type="character" w:customStyle="1" w:styleId="250">
    <w:name w:val="Char Char9"/>
    <w:semiHidden/>
    <w:qFormat/>
    <w:uiPriority w:val="0"/>
    <w:rPr>
      <w:rFonts w:hint="default" w:ascii="Tahoma" w:hAnsi="Tahoma" w:cs="Tahoma"/>
      <w:sz w:val="16"/>
      <w:szCs w:val="16"/>
      <w:lang w:val="en-GB" w:eastAsia="en-US"/>
    </w:rPr>
  </w:style>
  <w:style w:type="character" w:customStyle="1" w:styleId="251">
    <w:name w:val="Char Char8"/>
    <w:semiHidden/>
    <w:qFormat/>
    <w:uiPriority w:val="0"/>
    <w:rPr>
      <w:rFonts w:hint="default" w:ascii="Times New Roman" w:hAnsi="Times New Roman" w:cs="Times New Roman"/>
      <w:b/>
      <w:bCs/>
      <w:lang w:val="en-GB" w:eastAsia="en-US"/>
    </w:rPr>
  </w:style>
  <w:style w:type="character" w:customStyle="1" w:styleId="252">
    <w:name w:val="bt Char3"/>
    <w:qFormat/>
    <w:uiPriority w:val="0"/>
    <w:rPr>
      <w:lang w:val="en-GB" w:eastAsia="ja-JP" w:bidi="ar-SA"/>
    </w:rPr>
  </w:style>
  <w:style w:type="table" w:customStyle="1" w:styleId="253">
    <w:name w:val="Table Grid1"/>
    <w:basedOn w:val="58"/>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
    <w:name w:val="网格型3"/>
    <w:basedOn w:val="58"/>
    <w:qFormat/>
    <w:uiPriority w:val="0"/>
    <w:pPr>
      <w:overflowPunct w:val="0"/>
      <w:autoSpaceDE w:val="0"/>
      <w:autoSpaceDN w:val="0"/>
      <w:adjustRightInd w:val="0"/>
      <w:spacing w:after="180"/>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
    <w:name w:val="网格型4"/>
    <w:basedOn w:val="58"/>
    <w:qFormat/>
    <w:uiPriority w:val="0"/>
    <w:pPr>
      <w:overflowPunct w:val="0"/>
      <w:autoSpaceDE w:val="0"/>
      <w:autoSpaceDN w:val="0"/>
      <w:adjustRightInd w:val="0"/>
      <w:spacing w:after="180"/>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1"/>
    <w:basedOn w:val="58"/>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2"/>
    <w:basedOn w:val="58"/>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3"/>
    <w:basedOn w:val="58"/>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4"/>
    <w:basedOn w:val="58"/>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5"/>
    <w:basedOn w:val="58"/>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6"/>
    <w:basedOn w:val="58"/>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7"/>
    <w:basedOn w:val="58"/>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8"/>
    <w:basedOn w:val="58"/>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
    <w:name w:val="Tabellengitternetz9"/>
    <w:basedOn w:val="58"/>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
    <w:name w:val="Table Grid2"/>
    <w:basedOn w:val="58"/>
    <w:qFormat/>
    <w:uiPriority w:val="0"/>
    <w:pPr>
      <w:overflowPunct w:val="0"/>
      <w:autoSpaceDE w:val="0"/>
      <w:autoSpaceDN w:val="0"/>
      <w:adjustRightInd w:val="0"/>
      <w:spacing w:after="180"/>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
    <w:name w:val="Table Grid3"/>
    <w:basedOn w:val="58"/>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7">
    <w:name w:val="Numbered List"/>
    <w:basedOn w:val="209"/>
    <w:qFormat/>
    <w:uiPriority w:val="0"/>
    <w:pPr>
      <w:tabs>
        <w:tab w:val="left" w:pos="360"/>
      </w:tabs>
      <w:ind w:left="360" w:hanging="360"/>
    </w:pPr>
  </w:style>
  <w:style w:type="paragraph" w:customStyle="1" w:styleId="268">
    <w:name w:val="Heading 3.Underrubrik2.H3"/>
    <w:basedOn w:val="218"/>
    <w:next w:val="1"/>
    <w:qFormat/>
    <w:uiPriority w:val="0"/>
    <w:pPr>
      <w:spacing w:before="120"/>
      <w:outlineLvl w:val="2"/>
    </w:pPr>
    <w:rPr>
      <w:sz w:val="28"/>
    </w:rPr>
  </w:style>
  <w:style w:type="paragraph" w:customStyle="1" w:styleId="269">
    <w:name w:val="表 (青) 121"/>
    <w:hidden/>
    <w:semiHidden/>
    <w:qFormat/>
    <w:uiPriority w:val="0"/>
    <w:rPr>
      <w:rFonts w:ascii="Times New Roman" w:hAnsi="Times New Roman" w:eastAsia="MS Mincho" w:cs="Times New Roman"/>
      <w:lang w:val="en-GB" w:eastAsia="en-US" w:bidi="ar-SA"/>
    </w:rPr>
  </w:style>
  <w:style w:type="character" w:customStyle="1" w:styleId="270">
    <w:name w:val="midashi"/>
    <w:qFormat/>
    <w:uiPriority w:val="0"/>
  </w:style>
  <w:style w:type="paragraph" w:customStyle="1" w:styleId="271">
    <w:name w:val="Revision"/>
    <w:hidden/>
    <w:semiHidden/>
    <w:qFormat/>
    <w:uiPriority w:val="99"/>
    <w:rPr>
      <w:rFonts w:ascii="Times New Roman" w:hAnsi="Times New Roman" w:eastAsia="MS Mincho" w:cs="Times New Roman"/>
      <w:lang w:val="en-GB" w:eastAsia="en-US" w:bidi="ar-SA"/>
    </w:rPr>
  </w:style>
  <w:style w:type="character" w:customStyle="1" w:styleId="272">
    <w:name w:val="B2 Char"/>
    <w:link w:val="96"/>
    <w:qFormat/>
    <w:uiPriority w:val="0"/>
    <w:rPr>
      <w:rFonts w:ascii="Times New Roman" w:hAnsi="Times New Roman"/>
      <w:lang w:val="en-GB" w:eastAsia="en-US"/>
    </w:rPr>
  </w:style>
  <w:style w:type="paragraph" w:styleId="273">
    <w:name w:val="List Paragraph"/>
    <w:basedOn w:val="1"/>
    <w:link w:val="291"/>
    <w:qFormat/>
    <w:uiPriority w:val="34"/>
    <w:pPr>
      <w:widowControl w:val="0"/>
      <w:spacing w:line="360" w:lineRule="auto"/>
      <w:ind w:firstLine="420" w:firstLineChars="200"/>
    </w:pPr>
    <w:rPr>
      <w:rFonts w:eastAsia="宋体"/>
      <w:snapToGrid w:val="0"/>
      <w:sz w:val="21"/>
      <w:szCs w:val="21"/>
      <w:lang w:val="zh-CN" w:eastAsia="zh-CN"/>
    </w:rPr>
  </w:style>
  <w:style w:type="character" w:customStyle="1" w:styleId="274">
    <w:name w:val="Date Char"/>
    <w:link w:val="40"/>
    <w:semiHidden/>
    <w:qFormat/>
    <w:uiPriority w:val="99"/>
    <w:rPr>
      <w:rFonts w:ascii="Times New Roman" w:hAnsi="Times New Roman"/>
      <w:lang w:val="en-GB" w:eastAsia="en-US"/>
    </w:rPr>
  </w:style>
  <w:style w:type="character" w:customStyle="1" w:styleId="275">
    <w:name w:val="im-content1"/>
    <w:qFormat/>
    <w:uiPriority w:val="0"/>
    <w:rPr>
      <w:color w:val="333333"/>
    </w:rPr>
  </w:style>
  <w:style w:type="paragraph" w:customStyle="1" w:styleId="276">
    <w:name w:val="th"/>
    <w:basedOn w:val="1"/>
    <w:semiHidden/>
    <w:qFormat/>
    <w:uiPriority w:val="99"/>
    <w:rPr>
      <w:rFonts w:ascii="宋体" w:hAnsi="宋体" w:eastAsia="宋体" w:cs="宋体"/>
    </w:rPr>
  </w:style>
  <w:style w:type="paragraph" w:customStyle="1" w:styleId="277">
    <w:name w:val="tah"/>
    <w:basedOn w:val="1"/>
    <w:semiHidden/>
    <w:qFormat/>
    <w:uiPriority w:val="99"/>
    <w:rPr>
      <w:rFonts w:ascii="宋体" w:hAnsi="宋体" w:eastAsia="宋体" w:cs="宋体"/>
    </w:rPr>
  </w:style>
  <w:style w:type="paragraph" w:customStyle="1" w:styleId="278">
    <w:name w:val="tac"/>
    <w:basedOn w:val="1"/>
    <w:semiHidden/>
    <w:qFormat/>
    <w:uiPriority w:val="99"/>
    <w:rPr>
      <w:rFonts w:ascii="宋体" w:hAnsi="宋体" w:eastAsia="宋体" w:cs="宋体"/>
    </w:rPr>
  </w:style>
  <w:style w:type="paragraph" w:customStyle="1" w:styleId="279">
    <w:name w:val="tan"/>
    <w:basedOn w:val="1"/>
    <w:semiHidden/>
    <w:qFormat/>
    <w:uiPriority w:val="99"/>
    <w:rPr>
      <w:rFonts w:ascii="宋体" w:hAnsi="宋体" w:eastAsia="宋体" w:cs="宋体"/>
    </w:rPr>
  </w:style>
  <w:style w:type="paragraph" w:customStyle="1" w:styleId="280">
    <w:name w:val="表格题注"/>
    <w:next w:val="1"/>
    <w:qFormat/>
    <w:uiPriority w:val="0"/>
    <w:pPr>
      <w:keepNext/>
      <w:keepLines/>
      <w:numPr>
        <w:ilvl w:val="0"/>
        <w:numId w:val="9"/>
      </w:numPr>
      <w:tabs>
        <w:tab w:val="left" w:pos="360"/>
      </w:tabs>
      <w:spacing w:before="100" w:beforeLines="100"/>
      <w:jc w:val="center"/>
    </w:pPr>
    <w:rPr>
      <w:rFonts w:ascii="Arial" w:hAnsi="Arial" w:eastAsia="宋体" w:cs="Times New Roman"/>
      <w:sz w:val="18"/>
      <w:szCs w:val="18"/>
      <w:lang w:val="en-US" w:eastAsia="zh-CN" w:bidi="ar-SA"/>
    </w:rPr>
  </w:style>
  <w:style w:type="paragraph" w:customStyle="1" w:styleId="281">
    <w:name w:val="Char Char Char Char Char Char Char Char Char Char Char Char Char Char"/>
    <w:basedOn w:val="30"/>
    <w:qFormat/>
    <w:uiPriority w:val="0"/>
    <w:pPr>
      <w:widowControl w:val="0"/>
      <w:adjustRightInd w:val="0"/>
      <w:spacing w:line="436" w:lineRule="exact"/>
      <w:ind w:left="357"/>
      <w:outlineLvl w:val="3"/>
    </w:pPr>
    <w:rPr>
      <w:rFonts w:eastAsia="宋体"/>
      <w:b/>
      <w:kern w:val="2"/>
      <w:lang w:eastAsia="zh-CN"/>
    </w:rPr>
  </w:style>
  <w:style w:type="paragraph" w:customStyle="1" w:styleId="282">
    <w:name w:val="文档标题"/>
    <w:qFormat/>
    <w:uiPriority w:val="0"/>
    <w:pPr>
      <w:spacing w:before="300" w:after="300"/>
      <w:jc w:val="center"/>
    </w:pPr>
    <w:rPr>
      <w:rFonts w:ascii="Arial" w:hAnsi="Arial" w:eastAsia="黑体" w:cs="Times New Roman"/>
      <w:sz w:val="36"/>
      <w:szCs w:val="36"/>
      <w:lang w:val="en-US" w:eastAsia="zh-CN" w:bidi="ar-SA"/>
    </w:rPr>
  </w:style>
  <w:style w:type="character" w:customStyle="1" w:styleId="283">
    <w:name w:val="PL Char"/>
    <w:link w:val="84"/>
    <w:qFormat/>
    <w:uiPriority w:val="0"/>
    <w:rPr>
      <w:rFonts w:ascii="Courier New" w:hAnsi="Courier New"/>
      <w:sz w:val="16"/>
      <w:lang w:val="en-US" w:eastAsia="en-US" w:bidi="ar-SA"/>
    </w:rPr>
  </w:style>
  <w:style w:type="character" w:customStyle="1" w:styleId="284">
    <w:name w:val="Guidance Char"/>
    <w:link w:val="117"/>
    <w:qFormat/>
    <w:uiPriority w:val="0"/>
    <w:rPr>
      <w:rFonts w:ascii="Times New Roman" w:hAnsi="Times New Roman"/>
      <w:i/>
      <w:color w:val="0000FF"/>
      <w:lang w:val="en-GB" w:eastAsia="en-US"/>
    </w:rPr>
  </w:style>
  <w:style w:type="paragraph" w:customStyle="1" w:styleId="285">
    <w:name w:val="Doc-text2"/>
    <w:basedOn w:val="1"/>
    <w:link w:val="286"/>
    <w:qFormat/>
    <w:uiPriority w:val="0"/>
    <w:pPr>
      <w:tabs>
        <w:tab w:val="left" w:pos="1622"/>
      </w:tabs>
      <w:ind w:left="1622" w:hanging="363"/>
    </w:pPr>
    <w:rPr>
      <w:rFonts w:ascii="Arial" w:hAnsi="Arial"/>
      <w:lang w:eastAsia="en-GB"/>
    </w:rPr>
  </w:style>
  <w:style w:type="character" w:customStyle="1" w:styleId="286">
    <w:name w:val="Doc-text2 Char"/>
    <w:link w:val="285"/>
    <w:qFormat/>
    <w:uiPriority w:val="0"/>
    <w:rPr>
      <w:rFonts w:ascii="Arial" w:hAnsi="Arial"/>
      <w:szCs w:val="24"/>
      <w:lang w:val="en-GB" w:eastAsia="en-GB"/>
    </w:rPr>
  </w:style>
  <w:style w:type="paragraph" w:customStyle="1" w:styleId="287">
    <w:name w:val="插图题注"/>
    <w:basedOn w:val="1"/>
    <w:qFormat/>
    <w:uiPriority w:val="0"/>
    <w:rPr>
      <w:rFonts w:eastAsia="宋体"/>
    </w:rPr>
  </w:style>
  <w:style w:type="paragraph" w:customStyle="1" w:styleId="288">
    <w:name w:val="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9">
    <w:name w:val="样式 页眉"/>
    <w:basedOn w:val="45"/>
    <w:link w:val="290"/>
    <w:qFormat/>
    <w:uiPriority w:val="0"/>
    <w:rPr>
      <w:rFonts w:eastAsia="Arial"/>
      <w:bCs/>
      <w:sz w:val="22"/>
      <w:lang w:val="en-GB" w:eastAsia="en-US"/>
    </w:rPr>
  </w:style>
  <w:style w:type="character" w:customStyle="1" w:styleId="290">
    <w:name w:val="样式 页眉 Char"/>
    <w:link w:val="289"/>
    <w:qFormat/>
    <w:uiPriority w:val="0"/>
    <w:rPr>
      <w:rFonts w:ascii="Arial" w:hAnsi="Arial" w:eastAsia="Arial"/>
      <w:b/>
      <w:bCs/>
      <w:sz w:val="22"/>
      <w:lang w:val="en-GB" w:eastAsia="en-US"/>
    </w:rPr>
  </w:style>
  <w:style w:type="character" w:customStyle="1" w:styleId="291">
    <w:name w:val="List Paragraph Char"/>
    <w:link w:val="273"/>
    <w:qFormat/>
    <w:uiPriority w:val="34"/>
    <w:rPr>
      <w:rFonts w:ascii="Times New Roman" w:hAnsi="Times New Roman" w:eastAsia="宋体"/>
      <w:snapToGrid w:val="0"/>
      <w:sz w:val="21"/>
      <w:szCs w:val="21"/>
    </w:rPr>
  </w:style>
  <w:style w:type="paragraph" w:customStyle="1" w:styleId="292">
    <w:name w:val="Agreement"/>
    <w:basedOn w:val="1"/>
    <w:next w:val="1"/>
    <w:qFormat/>
    <w:uiPriority w:val="99"/>
    <w:pPr>
      <w:numPr>
        <w:ilvl w:val="0"/>
        <w:numId w:val="10"/>
      </w:numPr>
      <w:tabs>
        <w:tab w:val="left" w:pos="1800"/>
      </w:tabs>
      <w:spacing w:before="60"/>
      <w:ind w:left="1800"/>
    </w:pPr>
    <w:rPr>
      <w:rFonts w:ascii="Arial" w:hAnsi="Arial"/>
      <w:b/>
      <w:lang w:eastAsia="en-GB"/>
    </w:rPr>
  </w:style>
  <w:style w:type="paragraph" w:customStyle="1" w:styleId="293">
    <w:name w:val="3GPP Normal Text"/>
    <w:basedOn w:val="33"/>
    <w:link w:val="294"/>
    <w:qFormat/>
    <w:uiPriority w:val="0"/>
    <w:pPr>
      <w:spacing w:after="120"/>
      <w:ind w:hanging="22"/>
      <w:jc w:val="both"/>
    </w:pPr>
    <w:rPr>
      <w:rFonts w:ascii="Arial" w:hAnsi="Arial" w:cs="Arial"/>
      <w:lang w:eastAsia="en-US"/>
    </w:rPr>
  </w:style>
  <w:style w:type="character" w:customStyle="1" w:styleId="294">
    <w:name w:val="3GPP Normal Text Char"/>
    <w:link w:val="293"/>
    <w:qFormat/>
    <w:uiPriority w:val="0"/>
    <w:rPr>
      <w:rFonts w:ascii="Arial" w:hAnsi="Arial" w:cs="Arial"/>
      <w:sz w:val="24"/>
      <w:szCs w:val="24"/>
      <w:lang w:eastAsia="en-US"/>
    </w:rPr>
  </w:style>
  <w:style w:type="character" w:styleId="295">
    <w:name w:val="Placeholder Text"/>
    <w:basedOn w:val="60"/>
    <w:semiHidden/>
    <w:qFormat/>
    <w:uiPriority w:val="99"/>
    <w:rPr>
      <w:color w:val="808080"/>
    </w:rPr>
  </w:style>
  <w:style w:type="character" w:customStyle="1" w:styleId="296">
    <w:name w:val="B1 Zchn"/>
    <w:qFormat/>
    <w:uiPriority w:val="0"/>
    <w:rPr>
      <w:lang w:val="en-GB" w:eastAsia="en-GB"/>
    </w:rPr>
  </w:style>
  <w:style w:type="character" w:customStyle="1" w:styleId="297">
    <w:name w:val="Unresolved Mention"/>
    <w:basedOn w:val="60"/>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Company>Huawei Technologies Co.,Ltd.</Company>
  <Pages>5</Pages>
  <Words>1668</Words>
  <Characters>9514</Characters>
  <Lines>79</Lines>
  <Paragraphs>22</Paragraphs>
  <TotalTime>41</TotalTime>
  <ScaleCrop>false</ScaleCrop>
  <LinksUpToDate>false</LinksUpToDate>
  <CharactersWithSpaces>11160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2023-09-26T21:52:00Z</dcterms:created>
  <dc:creator>Intel</dc:creator>
  <cp:keywords>ESA, style sheet, Winword, CTPClassification=CTP_IC:VisualMarkings=, CTPClassification=CTP_PUBLIC:VisualMarkings=, CTPClassification=CTP_IC, CTPClassification=CTP_NT</cp:keywords>
  <cp:lastModifiedBy>ZTE</cp:lastModifiedBy>
  <cp:lastPrinted>2016-08-05T18:54:00Z</cp:lastPrinted>
  <dcterms:modified xsi:type="dcterms:W3CDTF">2023-11-03T16:32:40Z</dcterms:modified>
  <dc:subject>Word for Windows 6.x &amp; 95+</dc:subject>
  <dc:title>ETSI stylesheet (v.7.0)</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y fmtid="{D5CDD505-2E9C-101B-9397-08002B2CF9AE}" pid="26" name="KSOProductBuildVer">
    <vt:lpwstr>2052-11.8.2.12085</vt:lpwstr>
  </property>
  <property fmtid="{D5CDD505-2E9C-101B-9397-08002B2CF9AE}" pid="27" name="ICV">
    <vt:lpwstr>6E9E5785B9D04840AA3930B622ADD631</vt:lpwstr>
  </property>
</Properties>
</file>